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C12" w:rsidRPr="00D2334A" w:rsidRDefault="00D2334A" w:rsidP="008622AC">
      <w:pPr>
        <w:jc w:val="center"/>
        <w:rPr>
          <w:b/>
          <w:lang w:val="el-GR"/>
        </w:rPr>
      </w:pPr>
      <w:bookmarkStart w:id="0" w:name="_GoBack"/>
      <w:r w:rsidRPr="00D2334A">
        <w:rPr>
          <w:b/>
          <w:lang w:val="el-GR"/>
        </w:rPr>
        <w:t>10</w:t>
      </w:r>
      <w:r w:rsidRPr="00D2334A">
        <w:rPr>
          <w:b/>
          <w:vertAlign w:val="superscript"/>
          <w:lang w:val="el-GR"/>
        </w:rPr>
        <w:t>ο</w:t>
      </w:r>
      <w:r w:rsidRPr="00D2334A">
        <w:rPr>
          <w:b/>
          <w:lang w:val="el-GR"/>
        </w:rPr>
        <w:t xml:space="preserve"> Εργαστηριο Κατασκευή περιοριστικού χάρτη.</w:t>
      </w:r>
    </w:p>
    <w:bookmarkEnd w:id="0"/>
    <w:p w:rsidR="00F70C12" w:rsidRDefault="00F70C12">
      <w:pPr>
        <w:rPr>
          <w:lang w:val="el-GR"/>
        </w:rPr>
      </w:pPr>
    </w:p>
    <w:p w:rsidR="00F70C12" w:rsidRPr="00F70C12" w:rsidRDefault="00F70C12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3E67B3EF" wp14:editId="4ECE0D82">
            <wp:extent cx="5172075" cy="4914900"/>
            <wp:effectExtent l="19050" t="19050" r="28575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4914900"/>
                    </a:xfrm>
                    <a:prstGeom prst="rect">
                      <a:avLst/>
                    </a:prstGeom>
                    <a:ln w="222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70C12" w:rsidRDefault="00F70C12">
      <w:pPr>
        <w:rPr>
          <w:lang w:val="el-GR"/>
        </w:rPr>
      </w:pPr>
    </w:p>
    <w:p w:rsidR="00F70C12" w:rsidRDefault="00F70C12">
      <w:pPr>
        <w:rPr>
          <w:lang w:val="el-GR"/>
        </w:rPr>
      </w:pPr>
    </w:p>
    <w:p w:rsidR="00F847D8" w:rsidRDefault="00D2334A">
      <w:r>
        <w:rPr>
          <w:noProof/>
          <w:lang w:eastAsia="en-GB"/>
        </w:rPr>
        <w:lastRenderedPageBreak/>
        <w:drawing>
          <wp:inline distT="0" distB="0" distL="0" distR="0" wp14:anchorId="3C934FD6" wp14:editId="7A6A8A6C">
            <wp:extent cx="4991100" cy="459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151" w:rsidRDefault="00D2334A">
      <w:pPr>
        <w:rPr>
          <w:lang w:val="el-GR"/>
        </w:rPr>
      </w:pPr>
      <w:r>
        <w:rPr>
          <w:lang w:val="el-GR"/>
        </w:rPr>
        <w:t xml:space="preserve">          </w:t>
      </w:r>
      <w:r>
        <w:rPr>
          <w:noProof/>
          <w:lang w:eastAsia="en-GB"/>
        </w:rPr>
        <w:drawing>
          <wp:inline distT="0" distB="0" distL="0" distR="0" wp14:anchorId="131F7B34" wp14:editId="39C64100">
            <wp:extent cx="628650" cy="4762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l-GR"/>
        </w:rPr>
        <w:t xml:space="preserve">                        </w:t>
      </w:r>
      <w:r>
        <w:rPr>
          <w:noProof/>
          <w:lang w:eastAsia="en-GB"/>
        </w:rPr>
        <w:drawing>
          <wp:inline distT="0" distB="0" distL="0" distR="0" wp14:anchorId="40692008" wp14:editId="1BFEA3D5">
            <wp:extent cx="571500" cy="4572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l-GR" w:eastAsia="en-GB"/>
        </w:rPr>
        <w:t xml:space="preserve">                                   </w:t>
      </w:r>
      <w:r>
        <w:rPr>
          <w:noProof/>
          <w:lang w:eastAsia="en-GB"/>
        </w:rPr>
        <w:drawing>
          <wp:inline distT="0" distB="0" distL="0" distR="0" wp14:anchorId="2FB17698" wp14:editId="461F5ED7">
            <wp:extent cx="628650" cy="4762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151" w:rsidRDefault="00D2334A">
      <w:pPr>
        <w:rPr>
          <w:lang w:val="el-GR"/>
        </w:rPr>
      </w:pPr>
      <w:r>
        <w:rPr>
          <w:lang w:val="el-GR"/>
        </w:rPr>
        <w:t xml:space="preserve">    </w:t>
      </w:r>
      <w:r>
        <w:rPr>
          <w:noProof/>
          <w:lang w:eastAsia="en-GB"/>
        </w:rPr>
        <w:drawing>
          <wp:inline distT="0" distB="0" distL="0" distR="0" wp14:anchorId="1390AF70" wp14:editId="30A7190E">
            <wp:extent cx="4829175" cy="1905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8291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151" w:rsidRDefault="00D2334A">
      <w:pPr>
        <w:rPr>
          <w:lang w:val="el-GR"/>
        </w:rPr>
      </w:pPr>
      <w:r>
        <w:rPr>
          <w:lang w:val="el-GR"/>
        </w:rPr>
        <w:t xml:space="preserve">   </w:t>
      </w:r>
      <w:r>
        <w:rPr>
          <w:noProof/>
          <w:lang w:eastAsia="en-GB"/>
        </w:rPr>
        <w:drawing>
          <wp:inline distT="0" distB="0" distL="0" distR="0" wp14:anchorId="1578FEDD" wp14:editId="5DD6106B">
            <wp:extent cx="561975" cy="44767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4377150" wp14:editId="0E03046C">
            <wp:extent cx="1390650" cy="3905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7FD979A" wp14:editId="6AB38B6D">
            <wp:extent cx="1809750" cy="44767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D3B1326" wp14:editId="7E5A5D10">
            <wp:extent cx="1200150" cy="3429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151" w:rsidRDefault="00A55151">
      <w:pPr>
        <w:rPr>
          <w:lang w:val="el-GR"/>
        </w:rPr>
      </w:pPr>
    </w:p>
    <w:p w:rsidR="00031F1D" w:rsidRDefault="00001AEE">
      <w:pPr>
        <w:rPr>
          <w:lang w:val="el-GR"/>
        </w:rPr>
      </w:pPr>
      <w:r>
        <w:rPr>
          <w:lang w:val="el-GR"/>
        </w:rPr>
        <w:t xml:space="preserve">(α)Δεδομένα ηλεκτροφόρησης μετά απο πέψη τμήματος </w:t>
      </w:r>
      <w:r>
        <w:rPr>
          <w:lang w:val="en-US"/>
        </w:rPr>
        <w:t>DNA</w:t>
      </w:r>
      <w:r w:rsidRPr="00001AEE">
        <w:rPr>
          <w:lang w:val="el-GR"/>
        </w:rPr>
        <w:t xml:space="preserve"> </w:t>
      </w:r>
      <w:r>
        <w:rPr>
          <w:lang w:val="el-GR"/>
        </w:rPr>
        <w:t xml:space="preserve">μεγέθους (άκοπου) </w:t>
      </w:r>
      <w:r w:rsidRPr="00001AEE">
        <w:rPr>
          <w:lang w:val="el-GR"/>
        </w:rPr>
        <w:t>6</w:t>
      </w:r>
      <w:proofErr w:type="spellStart"/>
      <w:r>
        <w:rPr>
          <w:lang w:val="en-US"/>
        </w:rPr>
        <w:t>kbp</w:t>
      </w:r>
      <w:proofErr w:type="spellEnd"/>
      <w:r w:rsidRPr="00001AEE">
        <w:rPr>
          <w:lang w:val="el-GR"/>
        </w:rPr>
        <w:t xml:space="preserve">. </w:t>
      </w:r>
      <w:r>
        <w:rPr>
          <w:lang w:val="el-GR"/>
        </w:rPr>
        <w:t xml:space="preserve">Απο αριστερά μονή πέψη με </w:t>
      </w:r>
      <w:proofErr w:type="spellStart"/>
      <w:r>
        <w:rPr>
          <w:lang w:val="en-US"/>
        </w:rPr>
        <w:t>EcoRV</w:t>
      </w:r>
      <w:proofErr w:type="spellEnd"/>
      <w:r>
        <w:rPr>
          <w:lang w:val="el-GR"/>
        </w:rPr>
        <w:t xml:space="preserve">, κατόπιν διπλή πέψη με </w:t>
      </w:r>
      <w:proofErr w:type="spellStart"/>
      <w:r>
        <w:rPr>
          <w:lang w:val="en-US"/>
        </w:rPr>
        <w:t>EcoRV</w:t>
      </w:r>
      <w:proofErr w:type="spellEnd"/>
      <w:r w:rsidRPr="00001AEE">
        <w:rPr>
          <w:lang w:val="el-GR"/>
        </w:rPr>
        <w:t xml:space="preserve"> </w:t>
      </w:r>
      <w:r>
        <w:rPr>
          <w:lang w:val="el-GR"/>
        </w:rPr>
        <w:t xml:space="preserve">και </w:t>
      </w:r>
      <w:proofErr w:type="spellStart"/>
      <w:r>
        <w:rPr>
          <w:lang w:val="en-US"/>
        </w:rPr>
        <w:t>BamH</w:t>
      </w:r>
      <w:proofErr w:type="spellEnd"/>
      <w:r w:rsidRPr="00001AEE">
        <w:rPr>
          <w:lang w:val="el-GR"/>
        </w:rPr>
        <w:t xml:space="preserve">1 </w:t>
      </w:r>
      <w:r>
        <w:rPr>
          <w:lang w:val="el-GR"/>
        </w:rPr>
        <w:t xml:space="preserve">και τέλος μονή πεψη με </w:t>
      </w:r>
      <w:proofErr w:type="spellStart"/>
      <w:r>
        <w:rPr>
          <w:lang w:val="en-US"/>
        </w:rPr>
        <w:t>BamH</w:t>
      </w:r>
      <w:proofErr w:type="spellEnd"/>
      <w:r w:rsidRPr="00001AEE">
        <w:rPr>
          <w:lang w:val="el-GR"/>
        </w:rPr>
        <w:t>1</w:t>
      </w:r>
      <w:r>
        <w:rPr>
          <w:lang w:val="el-GR"/>
        </w:rPr>
        <w:t xml:space="preserve">. Από τα δεδομένα των παραπάνω πέψεων κατασκευάζουμε τον ευθύγραμμο περιοριστικό χάρτη, </w:t>
      </w:r>
      <w:r w:rsidR="000110B1">
        <w:rPr>
          <w:lang w:val="el-GR"/>
        </w:rPr>
        <w:t>λαμβάνοντας υπ όψιν μας τα εξής</w:t>
      </w:r>
      <w:r w:rsidR="000110B1" w:rsidRPr="000110B1">
        <w:rPr>
          <w:lang w:val="el-GR"/>
        </w:rPr>
        <w:t xml:space="preserve">: </w:t>
      </w:r>
    </w:p>
    <w:p w:rsidR="00F70C12" w:rsidRDefault="000110B1" w:rsidP="00031F1D">
      <w:pPr>
        <w:pStyle w:val="ListParagraph"/>
        <w:numPr>
          <w:ilvl w:val="0"/>
          <w:numId w:val="1"/>
        </w:numPr>
        <w:rPr>
          <w:lang w:val="el-GR"/>
        </w:rPr>
      </w:pPr>
      <w:r w:rsidRPr="00031F1D">
        <w:rPr>
          <w:lang w:val="el-GR"/>
        </w:rPr>
        <w:t xml:space="preserve">Η πέψη με </w:t>
      </w:r>
      <w:proofErr w:type="spellStart"/>
      <w:r w:rsidRPr="00031F1D">
        <w:rPr>
          <w:lang w:val="en-US"/>
        </w:rPr>
        <w:t>EcoR</w:t>
      </w:r>
      <w:r w:rsidR="00031F1D">
        <w:rPr>
          <w:lang w:val="en-US"/>
        </w:rPr>
        <w:t>V</w:t>
      </w:r>
      <w:proofErr w:type="spellEnd"/>
      <w:r w:rsidRPr="00031F1D">
        <w:rPr>
          <w:lang w:val="el-GR"/>
        </w:rPr>
        <w:t xml:space="preserve"> αποδίδει δύο ανισομεγέθη τμήματα 3,7 και 2,3 </w:t>
      </w:r>
      <w:proofErr w:type="spellStart"/>
      <w:r w:rsidRPr="00031F1D">
        <w:rPr>
          <w:lang w:val="en-US"/>
        </w:rPr>
        <w:t>kbp</w:t>
      </w:r>
      <w:proofErr w:type="spellEnd"/>
      <w:r w:rsidRPr="00031F1D">
        <w:rPr>
          <w:lang w:val="el-GR"/>
        </w:rPr>
        <w:t xml:space="preserve">. </w:t>
      </w:r>
      <w:r w:rsidR="00031F1D">
        <w:rPr>
          <w:lang w:val="el-GR"/>
        </w:rPr>
        <w:t xml:space="preserve">Σημειώνουμε την θέση </w:t>
      </w:r>
      <w:proofErr w:type="spellStart"/>
      <w:r w:rsidR="00031F1D">
        <w:rPr>
          <w:lang w:val="en-US"/>
        </w:rPr>
        <w:t>EcoRV</w:t>
      </w:r>
      <w:proofErr w:type="spellEnd"/>
      <w:r w:rsidR="00031F1D" w:rsidRPr="00031F1D">
        <w:rPr>
          <w:lang w:val="el-GR"/>
        </w:rPr>
        <w:t xml:space="preserve">. </w:t>
      </w:r>
    </w:p>
    <w:p w:rsidR="00031F1D" w:rsidRDefault="00031F1D" w:rsidP="00031F1D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Δεδομένου ότι τα τμήματα μεγέθους 1,2 </w:t>
      </w:r>
      <w:proofErr w:type="spellStart"/>
      <w:r>
        <w:rPr>
          <w:lang w:val="en-US"/>
        </w:rPr>
        <w:t>kbp</w:t>
      </w:r>
      <w:proofErr w:type="spellEnd"/>
      <w:r w:rsidRPr="00031F1D">
        <w:rPr>
          <w:lang w:val="el-GR"/>
        </w:rPr>
        <w:t xml:space="preserve"> </w:t>
      </w:r>
      <w:r>
        <w:rPr>
          <w:lang w:val="el-GR"/>
        </w:rPr>
        <w:t xml:space="preserve">και 0,5 </w:t>
      </w:r>
      <w:proofErr w:type="spellStart"/>
      <w:r>
        <w:rPr>
          <w:lang w:val="en-US"/>
        </w:rPr>
        <w:t>kbp</w:t>
      </w:r>
      <w:proofErr w:type="spellEnd"/>
      <w:r w:rsidRPr="00031F1D">
        <w:rPr>
          <w:lang w:val="el-GR"/>
        </w:rPr>
        <w:t xml:space="preserve"> </w:t>
      </w:r>
      <w:r>
        <w:rPr>
          <w:lang w:val="el-GR"/>
        </w:rPr>
        <w:t xml:space="preserve">εμφανίζονται και στη μονή πέψη με </w:t>
      </w:r>
      <w:proofErr w:type="spellStart"/>
      <w:r>
        <w:rPr>
          <w:lang w:val="en-US"/>
        </w:rPr>
        <w:t>BamH</w:t>
      </w:r>
      <w:proofErr w:type="spellEnd"/>
      <w:r w:rsidRPr="00031F1D">
        <w:rPr>
          <w:lang w:val="el-GR"/>
        </w:rPr>
        <w:t xml:space="preserve">1 </w:t>
      </w:r>
      <w:r>
        <w:rPr>
          <w:lang w:val="el-GR"/>
        </w:rPr>
        <w:t xml:space="preserve">αλλά και στη διπλή πέψη, θα πρέπει να βρίσκονται στα άκρα.   </w:t>
      </w:r>
    </w:p>
    <w:p w:rsidR="00031F1D" w:rsidRPr="00031F1D" w:rsidRDefault="00D2334A" w:rsidP="00031F1D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Το τμήμα μεγέθους 4,3 </w:t>
      </w:r>
      <w:proofErr w:type="spellStart"/>
      <w:r w:rsidR="00031F1D">
        <w:rPr>
          <w:lang w:val="en-US"/>
        </w:rPr>
        <w:t>kbp</w:t>
      </w:r>
      <w:proofErr w:type="spellEnd"/>
      <w:r w:rsidR="00031F1D" w:rsidRPr="00031F1D">
        <w:rPr>
          <w:lang w:val="el-GR"/>
        </w:rPr>
        <w:t xml:space="preserve"> </w:t>
      </w:r>
      <w:r>
        <w:rPr>
          <w:lang w:val="el-GR"/>
        </w:rPr>
        <w:t>της</w:t>
      </w:r>
      <w:r w:rsidR="00031F1D">
        <w:rPr>
          <w:lang w:val="el-GR"/>
        </w:rPr>
        <w:t xml:space="preserve"> διπλή</w:t>
      </w:r>
      <w:r>
        <w:rPr>
          <w:lang w:val="el-GR"/>
        </w:rPr>
        <w:t>ς</w:t>
      </w:r>
      <w:r w:rsidR="00031F1D">
        <w:rPr>
          <w:lang w:val="el-GR"/>
        </w:rPr>
        <w:t xml:space="preserve"> πέψη</w:t>
      </w:r>
      <w:r>
        <w:rPr>
          <w:lang w:val="el-GR"/>
        </w:rPr>
        <w:t>ς</w:t>
      </w:r>
      <w:r w:rsidR="00031F1D">
        <w:rPr>
          <w:lang w:val="el-GR"/>
        </w:rPr>
        <w:t xml:space="preserve"> κ</w:t>
      </w:r>
      <w:r>
        <w:rPr>
          <w:lang w:val="el-GR"/>
        </w:rPr>
        <w:t>όβεται σε δύο τμήματα 1,8</w:t>
      </w:r>
      <w:proofErr w:type="spellStart"/>
      <w:r w:rsidR="00031F1D">
        <w:rPr>
          <w:lang w:val="en-US"/>
        </w:rPr>
        <w:t>kbp</w:t>
      </w:r>
      <w:proofErr w:type="spellEnd"/>
      <w:r w:rsidR="00031F1D" w:rsidRPr="00031F1D">
        <w:rPr>
          <w:lang w:val="el-GR"/>
        </w:rPr>
        <w:t xml:space="preserve"> </w:t>
      </w:r>
      <w:r>
        <w:rPr>
          <w:lang w:val="el-GR"/>
        </w:rPr>
        <w:t xml:space="preserve">και </w:t>
      </w:r>
      <w:r w:rsidR="00031F1D">
        <w:rPr>
          <w:lang w:val="el-GR"/>
        </w:rPr>
        <w:t>2</w:t>
      </w:r>
      <w:r>
        <w:rPr>
          <w:lang w:val="el-GR"/>
        </w:rPr>
        <w:t>,5</w:t>
      </w:r>
      <w:r w:rsidR="00031F1D">
        <w:rPr>
          <w:lang w:val="el-GR"/>
        </w:rPr>
        <w:t xml:space="preserve"> </w:t>
      </w:r>
      <w:proofErr w:type="spellStart"/>
      <w:r w:rsidR="00031F1D">
        <w:rPr>
          <w:lang w:val="en-US"/>
        </w:rPr>
        <w:t>kbp</w:t>
      </w:r>
      <w:proofErr w:type="spellEnd"/>
      <w:r w:rsidR="00031F1D" w:rsidRPr="00031F1D">
        <w:rPr>
          <w:lang w:val="el-GR"/>
        </w:rPr>
        <w:t>.</w:t>
      </w:r>
    </w:p>
    <w:p w:rsidR="00F70C12" w:rsidRDefault="00F70C12">
      <w:r>
        <w:rPr>
          <w:noProof/>
          <w:lang w:eastAsia="en-GB"/>
        </w:rPr>
        <w:drawing>
          <wp:inline distT="0" distB="0" distL="0" distR="0" wp14:anchorId="0FF040F2" wp14:editId="29AF81CA">
            <wp:extent cx="5219700" cy="3933825"/>
            <wp:effectExtent l="19050" t="19050" r="19050" b="28575"/>
            <wp:docPr id="3" name="Picture 2" descr="https://nc2.neb.com/NEBcutter2/TMP/fee0a49e-AF265576.1.5feb6e6a0a7d7.cu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c2.neb.com/NEBcutter2/TMP/fee0a49e-AF265576.1.5feb6e6a0a7d7.cut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9338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70C12" w:rsidRPr="00D2334A" w:rsidRDefault="00001AEE">
      <w:pPr>
        <w:rPr>
          <w:lang w:val="el-GR"/>
        </w:rPr>
      </w:pPr>
      <w:r>
        <w:rPr>
          <w:lang w:val="el-GR"/>
        </w:rPr>
        <w:t xml:space="preserve">Παράδειγμα περιοριστιού χάρτη σε κυκλική μορφή γονιδίου μεγέθους 2198 </w:t>
      </w:r>
      <w:proofErr w:type="spellStart"/>
      <w:r>
        <w:rPr>
          <w:lang w:val="en-US"/>
        </w:rPr>
        <w:t>bp</w:t>
      </w:r>
      <w:proofErr w:type="spellEnd"/>
      <w:r w:rsidRPr="00001AEE">
        <w:rPr>
          <w:lang w:val="el-GR"/>
        </w:rPr>
        <w:t xml:space="preserve"> </w:t>
      </w:r>
      <w:r>
        <w:rPr>
          <w:lang w:val="el-GR"/>
        </w:rPr>
        <w:t xml:space="preserve">και πρωτείνης 445 αμινοξέων. Στο χάρτη αναφέρονται μόνο οι μοναδικές περιοριστικές θέσεις (υπάρχουν και άλλες που όμως απαντώνται περισσότερες απο μια φορά ). </w:t>
      </w:r>
      <w:r w:rsidR="00D2334A">
        <w:rPr>
          <w:lang w:val="el-GR"/>
        </w:rPr>
        <w:t xml:space="preserve">Ο χάρτης δημιουργήθηκε με τη χρήση του προγράμματος </w:t>
      </w:r>
      <w:proofErr w:type="spellStart"/>
      <w:r w:rsidR="00D2334A">
        <w:rPr>
          <w:lang w:val="en-US"/>
        </w:rPr>
        <w:t>NEBcutter</w:t>
      </w:r>
      <w:proofErr w:type="spellEnd"/>
      <w:r w:rsidR="00D2334A" w:rsidRPr="00D2334A">
        <w:rPr>
          <w:lang w:val="el-GR"/>
        </w:rPr>
        <w:t xml:space="preserve"> (</w:t>
      </w:r>
      <w:r w:rsidR="00D2334A">
        <w:rPr>
          <w:lang w:val="en-US"/>
        </w:rPr>
        <w:fldChar w:fldCharType="begin"/>
      </w:r>
      <w:r w:rsidR="00D2334A" w:rsidRPr="00D2334A">
        <w:rPr>
          <w:lang w:val="el-GR"/>
        </w:rPr>
        <w:instrText xml:space="preserve"> </w:instrText>
      </w:r>
      <w:r w:rsidR="00D2334A">
        <w:rPr>
          <w:lang w:val="en-US"/>
        </w:rPr>
        <w:instrText>HYPERLINK</w:instrText>
      </w:r>
      <w:r w:rsidR="00D2334A" w:rsidRPr="00D2334A">
        <w:rPr>
          <w:lang w:val="el-GR"/>
        </w:rPr>
        <w:instrText xml:space="preserve"> "</w:instrText>
      </w:r>
      <w:r w:rsidR="00D2334A" w:rsidRPr="00D2334A">
        <w:rPr>
          <w:lang w:val="en-US"/>
        </w:rPr>
        <w:instrText>https</w:instrText>
      </w:r>
      <w:r w:rsidR="00D2334A" w:rsidRPr="00D2334A">
        <w:rPr>
          <w:lang w:val="el-GR"/>
        </w:rPr>
        <w:instrText>://</w:instrText>
      </w:r>
      <w:r w:rsidR="00D2334A" w:rsidRPr="00D2334A">
        <w:rPr>
          <w:lang w:val="en-US"/>
        </w:rPr>
        <w:instrText>nc</w:instrText>
      </w:r>
      <w:r w:rsidR="00D2334A" w:rsidRPr="00D2334A">
        <w:rPr>
          <w:lang w:val="el-GR"/>
        </w:rPr>
        <w:instrText>2.</w:instrText>
      </w:r>
      <w:r w:rsidR="00D2334A" w:rsidRPr="00D2334A">
        <w:rPr>
          <w:lang w:val="en-US"/>
        </w:rPr>
        <w:instrText>neb</w:instrText>
      </w:r>
      <w:r w:rsidR="00D2334A" w:rsidRPr="00D2334A">
        <w:rPr>
          <w:lang w:val="el-GR"/>
        </w:rPr>
        <w:instrText>.</w:instrText>
      </w:r>
      <w:r w:rsidR="00D2334A" w:rsidRPr="00D2334A">
        <w:rPr>
          <w:lang w:val="en-US"/>
        </w:rPr>
        <w:instrText>com</w:instrText>
      </w:r>
      <w:r w:rsidR="00D2334A" w:rsidRPr="00D2334A">
        <w:rPr>
          <w:lang w:val="el-GR"/>
        </w:rPr>
        <w:instrText>/</w:instrText>
      </w:r>
      <w:r w:rsidR="00D2334A" w:rsidRPr="00D2334A">
        <w:rPr>
          <w:lang w:val="en-US"/>
        </w:rPr>
        <w:instrText>NEBcutter</w:instrText>
      </w:r>
      <w:r w:rsidR="00D2334A" w:rsidRPr="00D2334A">
        <w:rPr>
          <w:lang w:val="el-GR"/>
        </w:rPr>
        <w:instrText xml:space="preserve">2/" </w:instrText>
      </w:r>
      <w:r w:rsidR="00D2334A">
        <w:rPr>
          <w:lang w:val="en-US"/>
        </w:rPr>
        <w:fldChar w:fldCharType="separate"/>
      </w:r>
      <w:r w:rsidR="00D2334A" w:rsidRPr="00A41251">
        <w:rPr>
          <w:rStyle w:val="Hyperlink"/>
          <w:lang w:val="en-US"/>
        </w:rPr>
        <w:t>https</w:t>
      </w:r>
      <w:r w:rsidR="00D2334A" w:rsidRPr="00A41251">
        <w:rPr>
          <w:rStyle w:val="Hyperlink"/>
          <w:lang w:val="el-GR"/>
        </w:rPr>
        <w:t>://</w:t>
      </w:r>
      <w:proofErr w:type="spellStart"/>
      <w:r w:rsidR="00D2334A" w:rsidRPr="00A41251">
        <w:rPr>
          <w:rStyle w:val="Hyperlink"/>
          <w:lang w:val="en-US"/>
        </w:rPr>
        <w:t>nc</w:t>
      </w:r>
      <w:proofErr w:type="spellEnd"/>
      <w:r w:rsidR="00D2334A" w:rsidRPr="00A41251">
        <w:rPr>
          <w:rStyle w:val="Hyperlink"/>
          <w:lang w:val="el-GR"/>
        </w:rPr>
        <w:t>2.</w:t>
      </w:r>
      <w:r w:rsidR="00D2334A" w:rsidRPr="00A41251">
        <w:rPr>
          <w:rStyle w:val="Hyperlink"/>
          <w:lang w:val="en-US"/>
        </w:rPr>
        <w:t>neb</w:t>
      </w:r>
      <w:r w:rsidR="00D2334A" w:rsidRPr="00A41251">
        <w:rPr>
          <w:rStyle w:val="Hyperlink"/>
          <w:lang w:val="el-GR"/>
        </w:rPr>
        <w:t>.</w:t>
      </w:r>
      <w:r w:rsidR="00D2334A" w:rsidRPr="00A41251">
        <w:rPr>
          <w:rStyle w:val="Hyperlink"/>
          <w:lang w:val="en-US"/>
        </w:rPr>
        <w:t>com</w:t>
      </w:r>
      <w:r w:rsidR="00D2334A" w:rsidRPr="00A41251">
        <w:rPr>
          <w:rStyle w:val="Hyperlink"/>
          <w:lang w:val="el-GR"/>
        </w:rPr>
        <w:t>/</w:t>
      </w:r>
      <w:proofErr w:type="spellStart"/>
      <w:r w:rsidR="00D2334A" w:rsidRPr="00A41251">
        <w:rPr>
          <w:rStyle w:val="Hyperlink"/>
          <w:lang w:val="en-US"/>
        </w:rPr>
        <w:t>NEBcutter</w:t>
      </w:r>
      <w:proofErr w:type="spellEnd"/>
      <w:r w:rsidR="00D2334A" w:rsidRPr="00A41251">
        <w:rPr>
          <w:rStyle w:val="Hyperlink"/>
          <w:lang w:val="el-GR"/>
        </w:rPr>
        <w:t>2/</w:t>
      </w:r>
      <w:r w:rsidR="00D2334A">
        <w:rPr>
          <w:lang w:val="en-US"/>
        </w:rPr>
        <w:fldChar w:fldCharType="end"/>
      </w:r>
      <w:r w:rsidR="00D2334A" w:rsidRPr="00D2334A">
        <w:rPr>
          <w:lang w:val="el-GR"/>
        </w:rPr>
        <w:t xml:space="preserve">) </w:t>
      </w:r>
      <w:r w:rsidR="00D2334A">
        <w:rPr>
          <w:lang w:val="el-GR"/>
        </w:rPr>
        <w:t xml:space="preserve">και αφορά την νουκλεοτιδική αλληλουχία με κώδικο AF265576. στην </w:t>
      </w:r>
      <w:proofErr w:type="spellStart"/>
      <w:r w:rsidR="00D2334A">
        <w:rPr>
          <w:lang w:val="en-US"/>
        </w:rPr>
        <w:t>Genbank</w:t>
      </w:r>
      <w:proofErr w:type="spellEnd"/>
      <w:r w:rsidR="008622AC">
        <w:rPr>
          <w:lang w:val="el-GR"/>
        </w:rPr>
        <w:t xml:space="preserve"> (</w:t>
      </w:r>
      <w:r w:rsidR="00D2334A" w:rsidRPr="00D2334A">
        <w:rPr>
          <w:lang w:val="en-US"/>
        </w:rPr>
        <w:t>https</w:t>
      </w:r>
      <w:r w:rsidR="00D2334A" w:rsidRPr="00D2334A">
        <w:rPr>
          <w:lang w:val="el-GR"/>
        </w:rPr>
        <w:t>://</w:t>
      </w:r>
      <w:r w:rsidR="00D2334A" w:rsidRPr="00D2334A">
        <w:rPr>
          <w:lang w:val="en-US"/>
        </w:rPr>
        <w:t>www</w:t>
      </w:r>
      <w:r w:rsidR="00D2334A" w:rsidRPr="00D2334A">
        <w:rPr>
          <w:lang w:val="el-GR"/>
        </w:rPr>
        <w:t>.</w:t>
      </w:r>
      <w:proofErr w:type="spellStart"/>
      <w:r w:rsidR="00D2334A" w:rsidRPr="00D2334A">
        <w:rPr>
          <w:lang w:val="en-US"/>
        </w:rPr>
        <w:t>ncbi</w:t>
      </w:r>
      <w:proofErr w:type="spellEnd"/>
      <w:r w:rsidR="00D2334A" w:rsidRPr="00D2334A">
        <w:rPr>
          <w:lang w:val="el-GR"/>
        </w:rPr>
        <w:t>.</w:t>
      </w:r>
      <w:proofErr w:type="spellStart"/>
      <w:r w:rsidR="00D2334A" w:rsidRPr="00D2334A">
        <w:rPr>
          <w:lang w:val="en-US"/>
        </w:rPr>
        <w:t>nlm</w:t>
      </w:r>
      <w:proofErr w:type="spellEnd"/>
      <w:r w:rsidR="00D2334A" w:rsidRPr="00D2334A">
        <w:rPr>
          <w:lang w:val="el-GR"/>
        </w:rPr>
        <w:t>.</w:t>
      </w:r>
      <w:proofErr w:type="spellStart"/>
      <w:r w:rsidR="00D2334A" w:rsidRPr="00D2334A">
        <w:rPr>
          <w:lang w:val="en-US"/>
        </w:rPr>
        <w:t>nih</w:t>
      </w:r>
      <w:proofErr w:type="spellEnd"/>
      <w:r w:rsidR="00D2334A" w:rsidRPr="00D2334A">
        <w:rPr>
          <w:lang w:val="el-GR"/>
        </w:rPr>
        <w:t>.</w:t>
      </w:r>
      <w:proofErr w:type="spellStart"/>
      <w:r w:rsidR="00D2334A" w:rsidRPr="00D2334A">
        <w:rPr>
          <w:lang w:val="en-US"/>
        </w:rPr>
        <w:t>gov</w:t>
      </w:r>
      <w:proofErr w:type="spellEnd"/>
      <w:r w:rsidR="00D2334A" w:rsidRPr="00D2334A">
        <w:rPr>
          <w:lang w:val="el-GR"/>
        </w:rPr>
        <w:t>/</w:t>
      </w:r>
      <w:proofErr w:type="spellStart"/>
      <w:r w:rsidR="00D2334A" w:rsidRPr="00D2334A">
        <w:rPr>
          <w:lang w:val="en-US"/>
        </w:rPr>
        <w:t>nuccore</w:t>
      </w:r>
      <w:proofErr w:type="spellEnd"/>
      <w:r w:rsidR="00D2334A" w:rsidRPr="00D2334A">
        <w:rPr>
          <w:lang w:val="el-GR"/>
        </w:rPr>
        <w:t>/</w:t>
      </w:r>
      <w:r w:rsidR="00D2334A" w:rsidRPr="00D2334A">
        <w:rPr>
          <w:lang w:val="en-US"/>
        </w:rPr>
        <w:t>AF</w:t>
      </w:r>
      <w:r w:rsidR="00D2334A" w:rsidRPr="00D2334A">
        <w:rPr>
          <w:lang w:val="el-GR"/>
        </w:rPr>
        <w:t>265576.1</w:t>
      </w:r>
      <w:r w:rsidR="00D2334A">
        <w:rPr>
          <w:lang w:val="el-GR"/>
        </w:rPr>
        <w:t>)</w:t>
      </w:r>
    </w:p>
    <w:sectPr w:rsidR="00F70C12" w:rsidRPr="00D233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6681B"/>
    <w:multiLevelType w:val="hybridMultilevel"/>
    <w:tmpl w:val="A5F67FE6"/>
    <w:lvl w:ilvl="0" w:tplc="44DAE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C12"/>
    <w:rsid w:val="00001AEE"/>
    <w:rsid w:val="000110B1"/>
    <w:rsid w:val="00031F1D"/>
    <w:rsid w:val="008622AC"/>
    <w:rsid w:val="00A55151"/>
    <w:rsid w:val="00D2334A"/>
    <w:rsid w:val="00F70C12"/>
    <w:rsid w:val="00F8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F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33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F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33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F63E3-8154-40DC-91D8-877CE21C9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2020-12-29T17:53:00Z</dcterms:created>
  <dcterms:modified xsi:type="dcterms:W3CDTF">2020-12-29T19:12:00Z</dcterms:modified>
</cp:coreProperties>
</file>