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AB" w:rsidRPr="0007096C" w:rsidRDefault="009C33AB" w:rsidP="009C33AB">
      <w:pPr>
        <w:spacing w:line="360" w:lineRule="auto"/>
        <w:jc w:val="center"/>
        <w:rPr>
          <w:b/>
        </w:rPr>
      </w:pPr>
      <w:r>
        <w:rPr>
          <w:b/>
        </w:rPr>
        <w:t>3</w:t>
      </w:r>
      <w:r w:rsidRPr="00A31AE3">
        <w:rPr>
          <w:b/>
          <w:vertAlign w:val="superscript"/>
        </w:rPr>
        <w:t>ο</w:t>
      </w:r>
      <w:r w:rsidRPr="00A31AE3">
        <w:rPr>
          <w:b/>
        </w:rPr>
        <w:t xml:space="preserve"> ΕΡΓΑΣΤΗΡΙΟ</w:t>
      </w:r>
      <w:r>
        <w:rPr>
          <w:b/>
        </w:rPr>
        <w:t xml:space="preserve">. </w:t>
      </w:r>
      <w:r w:rsidRPr="00597F7B">
        <w:rPr>
          <w:b/>
          <w:caps/>
        </w:rPr>
        <w:t>Ιστοκαλλιέργεια φυτών</w:t>
      </w:r>
    </w:p>
    <w:p w:rsidR="009C33AB" w:rsidRDefault="009C33AB" w:rsidP="009C33AB">
      <w:pPr>
        <w:pStyle w:val="NormalWeb"/>
        <w:ind w:left="720"/>
        <w:jc w:val="both"/>
      </w:pPr>
      <w:r>
        <w:pict>
          <v:rect id="_x0000_i1025" style="width:0;height:1.5pt" o:hralign="center" o:hrstd="t" o:hr="t" fillcolor="#9d9da1" stroked="f"/>
        </w:pict>
      </w:r>
    </w:p>
    <w:p w:rsidR="009C33AB" w:rsidRDefault="009C33AB" w:rsidP="009C33AB">
      <w:pPr>
        <w:spacing w:line="360" w:lineRule="auto"/>
        <w:jc w:val="both"/>
        <w:rPr>
          <w:b/>
        </w:rPr>
      </w:pPr>
    </w:p>
    <w:p w:rsidR="009C33AB" w:rsidRDefault="009C33AB" w:rsidP="009C33AB">
      <w:pPr>
        <w:spacing w:line="360" w:lineRule="auto"/>
        <w:jc w:val="both"/>
        <w:rPr>
          <w:bCs/>
        </w:rPr>
      </w:pPr>
      <w:r>
        <w:rPr>
          <w:bCs/>
        </w:rPr>
        <w:t xml:space="preserve">Η ιστοκαλλιέργεια αποτελεί αναπόσπαστο κομμάτι της βιοτεχνολογίας φυτών και αφορά την καλλιέργεια εκφύτων </w:t>
      </w:r>
      <w:r w:rsidRPr="008B1F4D">
        <w:rPr>
          <w:bCs/>
          <w:i/>
          <w:iCs/>
          <w:lang w:val="en-US"/>
        </w:rPr>
        <w:t>in</w:t>
      </w:r>
      <w:r w:rsidRPr="008B1F4D">
        <w:rPr>
          <w:bCs/>
          <w:i/>
          <w:iCs/>
        </w:rPr>
        <w:t xml:space="preserve"> </w:t>
      </w:r>
      <w:r w:rsidRPr="008B1F4D">
        <w:rPr>
          <w:bCs/>
          <w:i/>
          <w:iCs/>
          <w:lang w:val="en-US"/>
        </w:rPr>
        <w:t>vitro</w:t>
      </w:r>
      <w:r w:rsidRPr="00322149">
        <w:rPr>
          <w:bCs/>
        </w:rPr>
        <w:t xml:space="preserve">. </w:t>
      </w:r>
      <w:r>
        <w:rPr>
          <w:bCs/>
        </w:rPr>
        <w:t>Η ικανότητα των φυτών από ένα κύτταρο να δίνουν ολόκληρο φυτό, βασίζεται στην ιδιότητα της ολοδυναμίας. Ως έκφυτα</w:t>
      </w:r>
      <w:r w:rsidRPr="00322149">
        <w:rPr>
          <w:bCs/>
        </w:rPr>
        <w:t xml:space="preserve"> </w:t>
      </w:r>
      <w:r>
        <w:rPr>
          <w:bCs/>
        </w:rPr>
        <w:t xml:space="preserve">χρησιμποιούνται διάφοροι φυτικοί ιστοί, κύτταρα ή όργανα ανάλογα με τον αν τελική μας επιδίωξη είναι ο πολλαπλασιασμός των φυτών ή ο γενετικός μετασχηματισμός τους, ή η βελτίωσή τους.  </w:t>
      </w:r>
    </w:p>
    <w:p w:rsidR="009C33AB" w:rsidRDefault="009C33AB" w:rsidP="009C33AB">
      <w:pPr>
        <w:spacing w:line="360" w:lineRule="auto"/>
        <w:jc w:val="both"/>
        <w:rPr>
          <w:bCs/>
        </w:rPr>
      </w:pPr>
      <w:r>
        <w:rPr>
          <w:bCs/>
        </w:rPr>
        <w:t xml:space="preserve">Υπάρχουν δύο κύριες κατηγορίες θρεπτικών μέσων που χρησιμοποιούνται για την ανάπτυξη των φυτών </w:t>
      </w:r>
      <w:r>
        <w:rPr>
          <w:bCs/>
          <w:lang w:val="en-US"/>
        </w:rPr>
        <w:t>in</w:t>
      </w:r>
      <w:r w:rsidRPr="00322149">
        <w:rPr>
          <w:bCs/>
        </w:rPr>
        <w:t xml:space="preserve"> </w:t>
      </w:r>
      <w:r>
        <w:rPr>
          <w:bCs/>
          <w:lang w:val="en-US"/>
        </w:rPr>
        <w:t>vitro</w:t>
      </w:r>
      <w:r w:rsidRPr="00322149">
        <w:rPr>
          <w:bCs/>
        </w:rPr>
        <w:t xml:space="preserve">. </w:t>
      </w:r>
      <w:r>
        <w:rPr>
          <w:bCs/>
        </w:rPr>
        <w:t xml:space="preserve">Υγρά και στερεά. Τα πρώτα αφορούν υγρές καλλιέργειες κυττάρων ή πρωτοπλαστών που χρησιμοποιούνται στη παραγωγή δευτερογενών μεταβολιτών. Ειδικά οι πρωτοπλάστες χρησιμεύουν στη βελτίωση των φυτών για τη δημιουργία νέων ποικιλιών μέσο της σύντηξης πρωτοπλαστών. </w:t>
      </w:r>
    </w:p>
    <w:p w:rsidR="009C33AB" w:rsidRDefault="009C33AB" w:rsidP="009C33AB">
      <w:pPr>
        <w:spacing w:line="360" w:lineRule="auto"/>
        <w:jc w:val="both"/>
        <w:rPr>
          <w:bCs/>
        </w:rPr>
      </w:pPr>
      <w:r>
        <w:rPr>
          <w:bCs/>
        </w:rPr>
        <w:t xml:space="preserve">Σε στερεά θρεπτικά μέσα μπορούν να αναπτυχθούν όλα τα είδη των εκφύτων, τόσο από διαφοροποιημένα όσο και από αδιαφοροποιήτα κύτταρα. Κατά τη διαδικασία της ιστοκαλλιέργειας μπορούμε να διαφοποιήσουμε και να αποδιαφοροποιήσουμε φυτικά κύτταρα. Συγκεκριμένα η διαδικασία της διαφοροποίησης, λέγεται αλλιώς και οργανογένεση και αναλόγως διαχωρίζεται σε ριζογένεση και βλαστογένεση. </w:t>
      </w:r>
    </w:p>
    <w:p w:rsidR="009C33AB" w:rsidRDefault="009C33AB" w:rsidP="009C33AB">
      <w:pPr>
        <w:spacing w:line="360" w:lineRule="auto"/>
        <w:jc w:val="both"/>
        <w:rPr>
          <w:bCs/>
        </w:rPr>
      </w:pPr>
      <w:r>
        <w:rPr>
          <w:bCs/>
        </w:rPr>
        <w:t xml:space="preserve">Η πρώτη απαιτεί αυξημένη αναλογία αυξηνών / κυτοκινινών, ενώ η δεύτερη το αντίθετο. Η διαδικασία της αποδιαφοροποίησης συνήθως απαιτεί άλλου τύπου ορμόνες. </w:t>
      </w:r>
    </w:p>
    <w:p w:rsidR="009C33AB" w:rsidRDefault="009C33AB" w:rsidP="009C33AB">
      <w:pPr>
        <w:spacing w:line="360" w:lineRule="auto"/>
        <w:jc w:val="both"/>
        <w:rPr>
          <w:bCs/>
        </w:rPr>
      </w:pPr>
      <w:r>
        <w:rPr>
          <w:bCs/>
        </w:rPr>
        <w:t xml:space="preserve">Το πλέον καθοριστικά στάδια στην έκβαση μίας απόπειρας ιστοκαλλιέργειας είναι το πρώτο, η απολύμανση των εκφύτων (όπου απαιτείται) και το τελευταίο η σκληραγώγηση των φυτών. </w:t>
      </w:r>
    </w:p>
    <w:p w:rsidR="009C33AB" w:rsidRDefault="009C33AB" w:rsidP="009C33AB">
      <w:pPr>
        <w:spacing w:line="360" w:lineRule="auto"/>
        <w:jc w:val="both"/>
        <w:rPr>
          <w:bCs/>
        </w:rPr>
      </w:pPr>
    </w:p>
    <w:p w:rsidR="009C33AB" w:rsidRPr="008B1F4D" w:rsidRDefault="009C33AB" w:rsidP="009C33AB">
      <w:pPr>
        <w:rPr>
          <w:b/>
        </w:rPr>
      </w:pPr>
      <w:r w:rsidRPr="008B1F4D">
        <w:rPr>
          <w:b/>
        </w:rPr>
        <w:t>Επιφανειακή απολύμανση εκφύτων</w:t>
      </w:r>
    </w:p>
    <w:p w:rsidR="009C33AB" w:rsidRPr="008B1F4D" w:rsidRDefault="009C33AB" w:rsidP="009C33AB">
      <w:pPr>
        <w:rPr>
          <w:b/>
        </w:rPr>
      </w:pPr>
    </w:p>
    <w:p w:rsidR="009C33AB" w:rsidRPr="008B1F4D" w:rsidRDefault="009C33AB" w:rsidP="009C33AB">
      <w:pPr>
        <w:jc w:val="both"/>
      </w:pPr>
      <w:r w:rsidRPr="008B1F4D">
        <w:t xml:space="preserve">Για να αποφύγουμε ανάπτυξη μικροβίων παράλληλα με την ανάπτυξη των φυτών, τα έκφυτα απολυμαίνονται επιφανειακά πριν την έναρξη της </w:t>
      </w:r>
      <w:r w:rsidRPr="00E86E69">
        <w:rPr>
          <w:i/>
          <w:lang w:val="en-US"/>
        </w:rPr>
        <w:t>in</w:t>
      </w:r>
      <w:r w:rsidRPr="008B1F4D">
        <w:rPr>
          <w:i/>
        </w:rPr>
        <w:t xml:space="preserve"> </w:t>
      </w:r>
      <w:r w:rsidRPr="00E86E69">
        <w:rPr>
          <w:i/>
          <w:lang w:val="en-US"/>
        </w:rPr>
        <w:t>vitro</w:t>
      </w:r>
      <w:r w:rsidRPr="008B1F4D">
        <w:t xml:space="preserve"> ανάπτυξής τους. Τα πιο κοινά απολυμαντικά αναφέρονται παρακάτω, στη συγκέντρωση και τον χρόνο έκθεσης που μπορούν να χρησιμοποιηθούν ώστε να μη βλάπτουν τα έκφυτα, αλλά παράλληλα να καταστρέφουν τα μικρόβια. </w:t>
      </w:r>
    </w:p>
    <w:p w:rsidR="009C33AB" w:rsidRPr="008B1F4D" w:rsidRDefault="009C33AB" w:rsidP="009C33AB">
      <w:pPr>
        <w:jc w:val="both"/>
      </w:pPr>
    </w:p>
    <w:p w:rsidR="009C33AB" w:rsidRDefault="009C33AB" w:rsidP="009C33AB">
      <w:pPr>
        <w:jc w:val="both"/>
        <w:rPr>
          <w:b/>
        </w:rPr>
      </w:pPr>
      <w:r w:rsidRPr="00047EA9">
        <w:t>Απολύμανση εκφύτων</w:t>
      </w:r>
      <w:r>
        <w:rPr>
          <w:b/>
          <w:lang w:val="en-US"/>
        </w:rPr>
        <w:t>:</w:t>
      </w:r>
    </w:p>
    <w:p w:rsidR="009C33AB" w:rsidRDefault="009C33AB" w:rsidP="009C33AB">
      <w:pPr>
        <w:jc w:val="both"/>
        <w:rPr>
          <w:b/>
        </w:rPr>
      </w:pPr>
    </w:p>
    <w:p w:rsidR="009C33AB" w:rsidRPr="008B1F4D" w:rsidRDefault="009C33AB" w:rsidP="009C33AB">
      <w:pPr>
        <w:numPr>
          <w:ilvl w:val="0"/>
          <w:numId w:val="1"/>
        </w:numPr>
        <w:jc w:val="both"/>
      </w:pPr>
      <w:r w:rsidRPr="008B1F4D">
        <w:t xml:space="preserve">Πλύση των εκφύτων σε ήπιο απορρυπαντικό </w:t>
      </w:r>
    </w:p>
    <w:p w:rsidR="009C33AB" w:rsidRPr="008B1F4D" w:rsidRDefault="009C33AB" w:rsidP="009C33AB">
      <w:pPr>
        <w:numPr>
          <w:ilvl w:val="0"/>
          <w:numId w:val="1"/>
        </w:numPr>
        <w:jc w:val="both"/>
      </w:pPr>
      <w:r w:rsidRPr="008B1F4D">
        <w:t>Ξεπλένουμε τα έκφυτα κάτω από νερό βρύσης για 13-30 λεπτά</w:t>
      </w:r>
    </w:p>
    <w:p w:rsidR="009C33AB" w:rsidRPr="008B1F4D" w:rsidRDefault="009C33AB" w:rsidP="009C33AB">
      <w:pPr>
        <w:numPr>
          <w:ilvl w:val="0"/>
          <w:numId w:val="1"/>
        </w:numPr>
        <w:jc w:val="both"/>
      </w:pPr>
      <w:r w:rsidRPr="008B1F4D">
        <w:t>Εμβαπτίζουμε τα έκφυτα στο απολυμαντικό διάλυμα. Κλείνουμε το καπάκι και ανακινούμε ελαφρά</w:t>
      </w:r>
    </w:p>
    <w:p w:rsidR="009C33AB" w:rsidRPr="008B1F4D" w:rsidRDefault="009C33AB" w:rsidP="009C33AB">
      <w:pPr>
        <w:numPr>
          <w:ilvl w:val="0"/>
          <w:numId w:val="1"/>
        </w:numPr>
        <w:jc w:val="both"/>
      </w:pPr>
      <w:r w:rsidRPr="008B1F4D">
        <w:lastRenderedPageBreak/>
        <w:t xml:space="preserve">Κάτω από στείρες συνθήκες, απομακρύνουμε το διάλυμα και ξεπλένουμε τα έκφυτα πολλές φορές με αποστειρωμένο, απιονισμένο νερό. </w:t>
      </w:r>
    </w:p>
    <w:p w:rsidR="009C33AB" w:rsidRPr="008B1F4D" w:rsidRDefault="009C33AB" w:rsidP="009C33AB">
      <w:pPr>
        <w:jc w:val="both"/>
      </w:pPr>
    </w:p>
    <w:tbl>
      <w:tblPr>
        <w:tblW w:w="6264" w:type="dxa"/>
        <w:jc w:val="center"/>
        <w:tblCellSpacing w:w="15" w:type="dxa"/>
        <w:tblInd w:w="-602" w:type="dxa"/>
        <w:tblCellMar>
          <w:top w:w="30" w:type="dxa"/>
          <w:left w:w="30" w:type="dxa"/>
          <w:bottom w:w="30" w:type="dxa"/>
          <w:right w:w="30" w:type="dxa"/>
        </w:tblCellMar>
        <w:tblLook w:val="0000" w:firstRow="0" w:lastRow="0" w:firstColumn="0" w:lastColumn="0" w:noHBand="0" w:noVBand="0"/>
      </w:tblPr>
      <w:tblGrid>
        <w:gridCol w:w="2342"/>
        <w:gridCol w:w="2168"/>
        <w:gridCol w:w="1754"/>
      </w:tblGrid>
      <w:tr w:rsidR="009C33AB" w:rsidRPr="00676A48" w:rsidTr="00323538">
        <w:trPr>
          <w:tblCellSpacing w:w="15" w:type="dxa"/>
          <w:jc w:val="center"/>
        </w:trPr>
        <w:tc>
          <w:tcPr>
            <w:tcW w:w="1833" w:type="pct"/>
            <w:shd w:val="clear" w:color="auto" w:fill="000000"/>
            <w:vAlign w:val="center"/>
          </w:tcPr>
          <w:p w:rsidR="009C33AB" w:rsidRPr="00676A48" w:rsidRDefault="009C33AB" w:rsidP="00323538">
            <w:pPr>
              <w:jc w:val="center"/>
              <w:rPr>
                <w:color w:val="000000"/>
              </w:rPr>
            </w:pPr>
            <w:r>
              <w:rPr>
                <w:b/>
                <w:bCs/>
                <w:color w:val="FFFFFF"/>
                <w:sz w:val="20"/>
                <w:szCs w:val="20"/>
              </w:rPr>
              <w:t>Απολυμαντικό</w:t>
            </w:r>
          </w:p>
        </w:tc>
        <w:tc>
          <w:tcPr>
            <w:tcW w:w="1707" w:type="pct"/>
            <w:shd w:val="clear" w:color="auto" w:fill="000000"/>
            <w:vAlign w:val="center"/>
          </w:tcPr>
          <w:p w:rsidR="009C33AB" w:rsidRPr="00676A48" w:rsidRDefault="009C33AB" w:rsidP="00323538">
            <w:pPr>
              <w:jc w:val="center"/>
              <w:rPr>
                <w:color w:val="000000"/>
              </w:rPr>
            </w:pPr>
            <w:r>
              <w:rPr>
                <w:b/>
                <w:bCs/>
                <w:color w:val="FFFFFF"/>
                <w:sz w:val="20"/>
                <w:szCs w:val="20"/>
              </w:rPr>
              <w:t>Συγκέντρωση</w:t>
            </w:r>
            <w:r w:rsidRPr="00676A48">
              <w:rPr>
                <w:b/>
                <w:bCs/>
                <w:color w:val="FFFFFF"/>
                <w:sz w:val="20"/>
                <w:szCs w:val="20"/>
              </w:rPr>
              <w:t xml:space="preserve"> (%)</w:t>
            </w:r>
          </w:p>
        </w:tc>
        <w:tc>
          <w:tcPr>
            <w:tcW w:w="1364" w:type="pct"/>
            <w:shd w:val="clear" w:color="auto" w:fill="000000"/>
            <w:vAlign w:val="center"/>
          </w:tcPr>
          <w:p w:rsidR="009C33AB" w:rsidRPr="00676A48" w:rsidRDefault="009C33AB" w:rsidP="00323538">
            <w:pPr>
              <w:jc w:val="center"/>
              <w:rPr>
                <w:color w:val="000000"/>
              </w:rPr>
            </w:pPr>
            <w:r>
              <w:rPr>
                <w:b/>
                <w:bCs/>
                <w:color w:val="FFFFFF"/>
                <w:sz w:val="20"/>
                <w:szCs w:val="20"/>
              </w:rPr>
              <w:t>Χρόνος έκθεσης</w:t>
            </w:r>
            <w:r w:rsidRPr="00676A48">
              <w:rPr>
                <w:b/>
                <w:bCs/>
                <w:color w:val="FFFFFF"/>
                <w:sz w:val="20"/>
                <w:szCs w:val="20"/>
              </w:rPr>
              <w:t xml:space="preserve"> (min)</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Calcium hypochlorite</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9-10</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5-30</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Sodium hypochlorite*</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0.5-5</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5-30</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Hydrogen peroxide</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3-12</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5-15</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Ethyl alcohol</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70-95</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0.1-5.0</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Silver nitrate</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1</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5-30</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Mercuric chloride</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0.1-1.0</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2-10</w:t>
            </w:r>
          </w:p>
        </w:tc>
      </w:tr>
      <w:tr w:rsidR="009C33AB" w:rsidRPr="00676A48" w:rsidTr="00323538">
        <w:trPr>
          <w:tblCellSpacing w:w="15" w:type="dxa"/>
          <w:jc w:val="center"/>
        </w:trPr>
        <w:tc>
          <w:tcPr>
            <w:tcW w:w="1833" w:type="pct"/>
            <w:shd w:val="clear" w:color="auto" w:fill="CCFF99"/>
            <w:vAlign w:val="center"/>
          </w:tcPr>
          <w:p w:rsidR="009C33AB" w:rsidRPr="00676A48" w:rsidRDefault="009C33AB" w:rsidP="00323538">
            <w:pPr>
              <w:rPr>
                <w:color w:val="000000"/>
              </w:rPr>
            </w:pPr>
            <w:r w:rsidRPr="00676A48">
              <w:rPr>
                <w:b/>
                <w:bCs/>
                <w:color w:val="000000"/>
                <w:sz w:val="20"/>
                <w:szCs w:val="20"/>
              </w:rPr>
              <w:t>Benzalkonium chloride</w:t>
            </w:r>
          </w:p>
        </w:tc>
        <w:tc>
          <w:tcPr>
            <w:tcW w:w="1707"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0.01-0.1</w:t>
            </w:r>
          </w:p>
        </w:tc>
        <w:tc>
          <w:tcPr>
            <w:tcW w:w="1364" w:type="pct"/>
            <w:shd w:val="clear" w:color="auto" w:fill="CCFF99"/>
            <w:vAlign w:val="center"/>
          </w:tcPr>
          <w:p w:rsidR="009C33AB" w:rsidRPr="00676A48" w:rsidRDefault="009C33AB" w:rsidP="00323538">
            <w:pPr>
              <w:jc w:val="center"/>
              <w:rPr>
                <w:color w:val="000000"/>
              </w:rPr>
            </w:pPr>
            <w:r w:rsidRPr="00676A48">
              <w:rPr>
                <w:b/>
                <w:bCs/>
                <w:color w:val="000000"/>
                <w:sz w:val="20"/>
                <w:szCs w:val="20"/>
              </w:rPr>
              <w:t>5-20</w:t>
            </w:r>
          </w:p>
        </w:tc>
      </w:tr>
    </w:tbl>
    <w:p w:rsidR="009C33AB" w:rsidRDefault="009C33AB" w:rsidP="009C33AB">
      <w:pPr>
        <w:jc w:val="both"/>
      </w:pPr>
    </w:p>
    <w:p w:rsidR="009C33AB" w:rsidRPr="008B1F4D" w:rsidRDefault="009C33AB" w:rsidP="009C33AB">
      <w:pPr>
        <w:jc w:val="both"/>
      </w:pPr>
      <w:r w:rsidRPr="008B1F4D">
        <w:t>Η διαδικασία απολύμανσης μπορεί να ενισχυθεί από:</w:t>
      </w:r>
    </w:p>
    <w:p w:rsidR="009C33AB" w:rsidRPr="008B1F4D" w:rsidRDefault="009C33AB" w:rsidP="009C33AB">
      <w:pPr>
        <w:jc w:val="both"/>
      </w:pPr>
    </w:p>
    <w:p w:rsidR="009C33AB" w:rsidRPr="008B1F4D" w:rsidRDefault="009C33AB" w:rsidP="009C33AB">
      <w:pPr>
        <w:numPr>
          <w:ilvl w:val="0"/>
          <w:numId w:val="2"/>
        </w:numPr>
        <w:jc w:val="both"/>
      </w:pPr>
      <w:r w:rsidRPr="008B1F4D">
        <w:t>Τοποθέτηση του φυτικού υλικού σε 70% αιθανόλη πριν την προσθήκη του απολυμαντικού</w:t>
      </w:r>
    </w:p>
    <w:p w:rsidR="009C33AB" w:rsidRPr="008B1F4D" w:rsidRDefault="009C33AB" w:rsidP="009C33AB">
      <w:pPr>
        <w:numPr>
          <w:ilvl w:val="0"/>
          <w:numId w:val="2"/>
        </w:numPr>
        <w:jc w:val="both"/>
      </w:pPr>
      <w:r w:rsidRPr="008B1F4D">
        <w:t xml:space="preserve">Χρήση κάποιου διαβρεκτικού (όπως </w:t>
      </w:r>
      <w:r>
        <w:rPr>
          <w:lang w:val="en-US"/>
        </w:rPr>
        <w:t>tween</w:t>
      </w:r>
      <w:r w:rsidRPr="008B1F4D">
        <w:t>) που προστίθεται στο απολυμαντικό και που μειώνει την επιφανειακή τάση και επιτρέπει καλύτερη επαφή των επιφανειών</w:t>
      </w:r>
    </w:p>
    <w:p w:rsidR="009C33AB" w:rsidRPr="008B1F4D" w:rsidRDefault="009C33AB" w:rsidP="009C33AB">
      <w:pPr>
        <w:numPr>
          <w:ilvl w:val="0"/>
          <w:numId w:val="2"/>
        </w:numPr>
        <w:jc w:val="both"/>
      </w:pPr>
      <w:r w:rsidRPr="008B1F4D">
        <w:t>Εφαρμογή της απολύμανσης στο κενό, καθώς απομακρύνονται οι φυσαλίδες αέρα και η απολύμανση είναι πιο αποτελεσματική</w:t>
      </w:r>
    </w:p>
    <w:p w:rsidR="009C33AB" w:rsidRDefault="009C33AB" w:rsidP="009C33AB">
      <w:pPr>
        <w:spacing w:line="360" w:lineRule="auto"/>
        <w:jc w:val="both"/>
        <w:rPr>
          <w:bCs/>
        </w:rPr>
      </w:pPr>
    </w:p>
    <w:p w:rsidR="009C33AB" w:rsidRDefault="009C33AB" w:rsidP="009C33AB">
      <w:pPr>
        <w:spacing w:line="360" w:lineRule="auto"/>
        <w:jc w:val="both"/>
        <w:rPr>
          <w:bCs/>
        </w:rPr>
      </w:pPr>
    </w:p>
    <w:p w:rsidR="009C33AB" w:rsidRDefault="009C33AB" w:rsidP="009C33AB">
      <w:pPr>
        <w:spacing w:line="360" w:lineRule="auto"/>
        <w:jc w:val="both"/>
        <w:rPr>
          <w:b/>
        </w:rPr>
      </w:pPr>
      <w:r w:rsidRPr="008B1F4D">
        <w:rPr>
          <w:b/>
        </w:rPr>
        <w:t xml:space="preserve">Σκληραγώγηση φυτών που παράχθηκαν με ιστοκαλλιέργεια. </w:t>
      </w:r>
    </w:p>
    <w:p w:rsidR="009C33AB" w:rsidRDefault="009C33AB" w:rsidP="009C33AB">
      <w:pPr>
        <w:spacing w:line="360" w:lineRule="auto"/>
        <w:jc w:val="both"/>
        <w:rPr>
          <w:b/>
        </w:rPr>
      </w:pPr>
    </w:p>
    <w:p w:rsidR="009C33AB" w:rsidRDefault="009C33AB" w:rsidP="009C33AB">
      <w:pPr>
        <w:spacing w:line="360" w:lineRule="auto"/>
        <w:jc w:val="both"/>
        <w:rPr>
          <w:bCs/>
        </w:rPr>
      </w:pPr>
      <w:r>
        <w:rPr>
          <w:bCs/>
        </w:rPr>
        <w:t xml:space="preserve">Κατά το στάδιο της σκληραγώγησης τα φυτά προετοιμάζονται για την έκθεση τους στις περιβαλλοντικές συνθήκες του αγρού ή του θερμοκηπίου. Κατά το στάδιο αυτό πρέπει να λάβουν χώρα συγκεκριμένες φυσιολογικές μεταβολές, όπως η σταδιακή μείωση της υγρασίας στους ιστούς τους,  η αύξηση του κυτταρικού τους τοιχώματος κ.α.  </w:t>
      </w:r>
    </w:p>
    <w:p w:rsidR="009C33AB" w:rsidRPr="0099255B" w:rsidRDefault="009C33AB" w:rsidP="009C33AB">
      <w:pPr>
        <w:jc w:val="center"/>
        <w:rPr>
          <w:b/>
        </w:rPr>
      </w:pPr>
      <w:r>
        <w:rPr>
          <w:bCs/>
        </w:rPr>
        <w:br w:type="page"/>
      </w:r>
      <w:r w:rsidRPr="0099255B">
        <w:rPr>
          <w:b/>
        </w:rPr>
        <w:t>Βασικές έννοιες που χρησιμοποιούνται στην  ιστοκαλλιέργειας</w:t>
      </w:r>
    </w:p>
    <w:p w:rsidR="009C33AB" w:rsidRPr="0099255B" w:rsidRDefault="009C33AB" w:rsidP="009C33AB">
      <w:pPr>
        <w:rPr>
          <w:b/>
        </w:rPr>
      </w:pPr>
    </w:p>
    <w:p w:rsidR="009C33AB" w:rsidRPr="0099255B" w:rsidRDefault="009C33AB" w:rsidP="009C33AB">
      <w:r w:rsidRPr="0099255B">
        <w:t xml:space="preserve">1. </w:t>
      </w:r>
      <w:r w:rsidRPr="0099255B">
        <w:rPr>
          <w:i/>
          <w:iCs/>
        </w:rPr>
        <w:t>Τυχαίοι ή επίκτητοι οφθαλμοί</w:t>
      </w:r>
      <w:r w:rsidRPr="0099255B">
        <w:t xml:space="preserve">- οφθαλμοί που αναπτύσσονται σε τυχαία σημεία του φυτικού σώματος, όχι στις μασχάλες των φύλλων. </w:t>
      </w:r>
    </w:p>
    <w:p w:rsidR="009C33AB" w:rsidRPr="0099255B" w:rsidRDefault="009C33AB" w:rsidP="009C33AB">
      <w:r w:rsidRPr="0099255B">
        <w:t xml:space="preserve">2. </w:t>
      </w:r>
      <w:r w:rsidRPr="0099255B">
        <w:rPr>
          <w:i/>
          <w:iCs/>
        </w:rPr>
        <w:t>Αγαρ</w:t>
      </w:r>
      <w:r w:rsidRPr="0099255B">
        <w:t xml:space="preserve"> – θρεπτικό μέσο, προερχόμενο από φύκη, για στερεοποίηση</w:t>
      </w:r>
    </w:p>
    <w:p w:rsidR="009C33AB" w:rsidRPr="0099255B" w:rsidRDefault="009C33AB" w:rsidP="009C33AB">
      <w:r w:rsidRPr="0099255B">
        <w:t xml:space="preserve">3. </w:t>
      </w:r>
      <w:r w:rsidRPr="0099255B">
        <w:rPr>
          <w:i/>
          <w:iCs/>
        </w:rPr>
        <w:t>Ασεπτικός</w:t>
      </w:r>
      <w:r w:rsidRPr="0099255B">
        <w:t xml:space="preserve"> – ελεύθερος από μικρόβια, αποστειρωμένος</w:t>
      </w:r>
    </w:p>
    <w:p w:rsidR="009C33AB" w:rsidRPr="0099255B" w:rsidRDefault="009C33AB" w:rsidP="009C33AB">
      <w:r w:rsidRPr="0099255B">
        <w:t xml:space="preserve">4. </w:t>
      </w:r>
      <w:r w:rsidRPr="0099255B">
        <w:rPr>
          <w:i/>
          <w:iCs/>
        </w:rPr>
        <w:t>Αποστείρωση</w:t>
      </w:r>
      <w:r w:rsidRPr="0099255B">
        <w:t xml:space="preserve"> -  συσκευή στην οποία θρεπτικά, γυαλικά, κ.τ.λ. αποστειρώνονται σε ατμό υπό πίεση</w:t>
      </w:r>
    </w:p>
    <w:p w:rsidR="009C33AB" w:rsidRPr="0099255B" w:rsidRDefault="009C33AB" w:rsidP="009C33AB">
      <w:r w:rsidRPr="0099255B">
        <w:t xml:space="preserve">5. </w:t>
      </w:r>
      <w:r w:rsidRPr="0099255B">
        <w:rPr>
          <w:i/>
          <w:iCs/>
        </w:rPr>
        <w:t>Αυξίνες</w:t>
      </w:r>
      <w:r w:rsidRPr="0099255B">
        <w:t xml:space="preserve"> – φυτικές ορμόνες που επάγουν την επιμήκυνση των κυττάρων. Συχνά επάγουν τη δημιουργία τυχαίων ριζών και παρεμποδίζουν τη δημιουργία τυχαίων βλαστών.  </w:t>
      </w:r>
    </w:p>
    <w:p w:rsidR="009C33AB" w:rsidRPr="0099255B" w:rsidRDefault="009C33AB" w:rsidP="009C33AB">
      <w:r w:rsidRPr="0099255B">
        <w:t xml:space="preserve">6. </w:t>
      </w:r>
      <w:r w:rsidRPr="0099255B">
        <w:rPr>
          <w:i/>
          <w:iCs/>
        </w:rPr>
        <w:t>Κάλλος</w:t>
      </w:r>
      <w:r w:rsidRPr="0099255B">
        <w:t xml:space="preserve"> – διαιρούμενα αδιαφοροποίητα κύτταρα που συχνά αναπτύσσονται από τραυματισμό ή ιστοκαλιέργεια</w:t>
      </w:r>
    </w:p>
    <w:p w:rsidR="009C33AB" w:rsidRPr="0099255B" w:rsidRDefault="009C33AB" w:rsidP="009C33AB">
      <w:r w:rsidRPr="0099255B">
        <w:t xml:space="preserve">7. </w:t>
      </w:r>
      <w:r w:rsidRPr="0099255B">
        <w:rPr>
          <w:i/>
          <w:iCs/>
        </w:rPr>
        <w:t>Κλώνοι</w:t>
      </w:r>
      <w:r w:rsidRPr="0099255B">
        <w:t xml:space="preserve"> -  σύνολο κυττάρων, ιστών ή φυτών που είναι γενετικώς όμοια </w:t>
      </w:r>
    </w:p>
    <w:p w:rsidR="009C33AB" w:rsidRPr="0099255B" w:rsidRDefault="009C33AB" w:rsidP="009C33AB">
      <w:r w:rsidRPr="0099255B">
        <w:t xml:space="preserve">8. </w:t>
      </w:r>
      <w:r w:rsidRPr="0099255B">
        <w:rPr>
          <w:i/>
          <w:iCs/>
        </w:rPr>
        <w:t>Μόλυνση</w:t>
      </w:r>
      <w:r w:rsidRPr="0099255B">
        <w:t xml:space="preserve"> – ανάπτυξη μικροοργανοσμών στην </w:t>
      </w:r>
      <w:r w:rsidRPr="00A043A0">
        <w:rPr>
          <w:i/>
          <w:iCs/>
          <w:lang w:val="en-US"/>
        </w:rPr>
        <w:t>in</w:t>
      </w:r>
      <w:r w:rsidRPr="0099255B">
        <w:rPr>
          <w:i/>
          <w:iCs/>
        </w:rPr>
        <w:t xml:space="preserve"> </w:t>
      </w:r>
      <w:r w:rsidRPr="00A043A0">
        <w:rPr>
          <w:i/>
          <w:iCs/>
          <w:lang w:val="en-US"/>
        </w:rPr>
        <w:t>vitro</w:t>
      </w:r>
      <w:r w:rsidRPr="0099255B">
        <w:rPr>
          <w:i/>
          <w:iCs/>
        </w:rPr>
        <w:t xml:space="preserve"> </w:t>
      </w:r>
      <w:r w:rsidRPr="0099255B">
        <w:rPr>
          <w:iCs/>
        </w:rPr>
        <w:t>ιστοκαλλιέργεια</w:t>
      </w:r>
      <w:r w:rsidRPr="0099255B">
        <w:t xml:space="preserve">. </w:t>
      </w:r>
    </w:p>
    <w:p w:rsidR="009C33AB" w:rsidRPr="0099255B" w:rsidRDefault="009C33AB" w:rsidP="009C33AB">
      <w:r w:rsidRPr="0099255B">
        <w:t xml:space="preserve">9. </w:t>
      </w:r>
      <w:r w:rsidRPr="0099255B">
        <w:rPr>
          <w:i/>
          <w:iCs/>
        </w:rPr>
        <w:t>Θάλαμος καλλιέργειας</w:t>
      </w:r>
      <w:r w:rsidRPr="0099255B">
        <w:t xml:space="preserve"> – θάλαμος για επώαση καλλιεργειών με ελεγχόμενες συνθήκες φωτός, θερμοκρασίας και υγρασίας</w:t>
      </w:r>
    </w:p>
    <w:p w:rsidR="009C33AB" w:rsidRPr="0099255B" w:rsidRDefault="009C33AB" w:rsidP="009C33AB">
      <w:r w:rsidRPr="0099255B">
        <w:t xml:space="preserve">10. </w:t>
      </w:r>
      <w:r w:rsidRPr="0099255B">
        <w:rPr>
          <w:i/>
          <w:iCs/>
        </w:rPr>
        <w:t>Κυτοκινίνες</w:t>
      </w:r>
      <w:r w:rsidRPr="0099255B">
        <w:t xml:space="preserve"> – φυτικές ορμόνες που επάγουν την κυτταρική διαίρεση και συχνά τη δημιουργία τυχαίων οφθαλμών, ενώ παρεμποδίζουν τη δημιουργία τυχαίων ριζών.  </w:t>
      </w:r>
    </w:p>
    <w:p w:rsidR="009C33AB" w:rsidRPr="0099255B" w:rsidRDefault="009C33AB" w:rsidP="009C33AB">
      <w:r w:rsidRPr="0099255B">
        <w:t xml:space="preserve">11. </w:t>
      </w:r>
      <w:r w:rsidRPr="0099255B">
        <w:rPr>
          <w:i/>
          <w:iCs/>
        </w:rPr>
        <w:t>Διαφοροποίηση</w:t>
      </w:r>
      <w:r w:rsidRPr="0099255B">
        <w:t xml:space="preserve"> – ανάπτυξη από τους κάλλους αναγνωρίσιμων οργάνων όπως ρίζες, βλαστούς και έμβρυα </w:t>
      </w:r>
    </w:p>
    <w:p w:rsidR="009C33AB" w:rsidRPr="0099255B" w:rsidRDefault="009C33AB" w:rsidP="009C33AB">
      <w:r w:rsidRPr="0099255B">
        <w:t xml:space="preserve">12. </w:t>
      </w:r>
      <w:r w:rsidRPr="0099255B">
        <w:rPr>
          <w:i/>
          <w:iCs/>
        </w:rPr>
        <w:t>Εμβρυοειδη</w:t>
      </w:r>
      <w:r w:rsidRPr="0099255B">
        <w:t xml:space="preserve"> – δομές που μοιάζουν με έμβρυα και παράγονται από ένα σωματικό κύτταρο </w:t>
      </w:r>
      <w:r w:rsidRPr="00A043A0">
        <w:rPr>
          <w:lang w:val="en-US"/>
        </w:rPr>
        <w:t>in</w:t>
      </w:r>
      <w:r w:rsidRPr="0099255B">
        <w:t xml:space="preserve"> </w:t>
      </w:r>
      <w:r w:rsidRPr="00A043A0">
        <w:rPr>
          <w:lang w:val="en-US"/>
        </w:rPr>
        <w:t>vitro</w:t>
      </w:r>
      <w:r w:rsidRPr="0099255B">
        <w:t xml:space="preserve">. </w:t>
      </w:r>
    </w:p>
    <w:p w:rsidR="009C33AB" w:rsidRPr="0099255B" w:rsidRDefault="009C33AB" w:rsidP="009C33AB">
      <w:r w:rsidRPr="0099255B">
        <w:t xml:space="preserve">13. </w:t>
      </w:r>
      <w:r w:rsidRPr="0099255B">
        <w:rPr>
          <w:i/>
          <w:iCs/>
        </w:rPr>
        <w:t xml:space="preserve">Έκφυτα </w:t>
      </w:r>
      <w:r w:rsidRPr="0099255B">
        <w:t xml:space="preserve">– φυτικά τμήματα που χρησιμοποιούνται στην εκκίνηση ιστοκαλλιέργειας, π.χ. έμβρυα, βλαστικά μεριστώματα, μικροσπόρια, φύλλα. </w:t>
      </w:r>
    </w:p>
    <w:p w:rsidR="009C33AB" w:rsidRPr="0099255B" w:rsidRDefault="009C33AB" w:rsidP="009C33AB">
      <w:r w:rsidRPr="0099255B">
        <w:t xml:space="preserve">15. Σκληραγώγηση- διαδικασία εγκλιματισμού του φυτού σε συνθη΄κες αγρού ή θερμοκηπίου. </w:t>
      </w:r>
    </w:p>
    <w:p w:rsidR="009C33AB" w:rsidRPr="0099255B" w:rsidRDefault="009C33AB" w:rsidP="009C33AB">
      <w:r w:rsidRPr="0099255B">
        <w:t xml:space="preserve">16. </w:t>
      </w:r>
      <w:r w:rsidRPr="0099255B">
        <w:rPr>
          <w:i/>
        </w:rPr>
        <w:t>Τράπεζα νηματικής ροής</w:t>
      </w:r>
      <w:r w:rsidRPr="0099255B">
        <w:rPr>
          <w:i/>
          <w:iCs/>
        </w:rPr>
        <w:t xml:space="preserve"> </w:t>
      </w:r>
      <w:r w:rsidRPr="0099255B">
        <w:t xml:space="preserve">– χώρος εργασίας όπου διακινείται αποστειρωμένος αέρας </w:t>
      </w:r>
    </w:p>
    <w:p w:rsidR="009C33AB" w:rsidRPr="0099255B" w:rsidRDefault="009C33AB" w:rsidP="009C33AB">
      <w:r w:rsidRPr="0099255B">
        <w:t xml:space="preserve">17. </w:t>
      </w:r>
      <w:r w:rsidRPr="0099255B">
        <w:rPr>
          <w:i/>
          <w:iCs/>
        </w:rPr>
        <w:t xml:space="preserve">Μακροστοιχεία </w:t>
      </w:r>
      <w:r w:rsidRPr="0099255B">
        <w:t>– ανόργανα στοιχεία που χρειάζονται σε μεγάλες ποσότητες για την ανάπτυξη των φυτών (</w:t>
      </w:r>
      <w:r w:rsidRPr="00A043A0">
        <w:rPr>
          <w:lang w:val="en-US"/>
        </w:rPr>
        <w:t>N</w:t>
      </w:r>
      <w:r w:rsidRPr="0099255B">
        <w:t xml:space="preserve">, </w:t>
      </w:r>
      <w:r w:rsidRPr="00A043A0">
        <w:rPr>
          <w:lang w:val="en-US"/>
        </w:rPr>
        <w:t>P</w:t>
      </w:r>
      <w:r w:rsidRPr="0099255B">
        <w:t xml:space="preserve">, </w:t>
      </w:r>
      <w:r w:rsidRPr="00A043A0">
        <w:rPr>
          <w:lang w:val="en-US"/>
        </w:rPr>
        <w:t>K</w:t>
      </w:r>
      <w:r w:rsidRPr="0099255B">
        <w:t xml:space="preserve">, </w:t>
      </w:r>
      <w:r w:rsidRPr="00A043A0">
        <w:rPr>
          <w:lang w:val="en-US"/>
        </w:rPr>
        <w:t>Ca</w:t>
      </w:r>
      <w:r w:rsidRPr="0099255B">
        <w:t xml:space="preserve">, </w:t>
      </w:r>
      <w:r w:rsidRPr="00A043A0">
        <w:rPr>
          <w:lang w:val="en-US"/>
        </w:rPr>
        <w:t>Mg</w:t>
      </w:r>
      <w:r w:rsidRPr="0099255B">
        <w:t>).</w:t>
      </w:r>
    </w:p>
    <w:p w:rsidR="009C33AB" w:rsidRPr="0099255B" w:rsidRDefault="009C33AB" w:rsidP="009C33AB">
      <w:r w:rsidRPr="0099255B">
        <w:t xml:space="preserve">18. </w:t>
      </w:r>
      <w:r w:rsidRPr="0099255B">
        <w:rPr>
          <w:i/>
          <w:iCs/>
        </w:rPr>
        <w:t>Μικροστοιχεία</w:t>
      </w:r>
      <w:r w:rsidRPr="0099255B">
        <w:t xml:space="preserve"> - ανόργανα στοιχεία που χρειάζονται σε μικρές ποσότητες για την ανάπτυξη των φυτών (</w:t>
      </w:r>
      <w:r w:rsidRPr="00A043A0">
        <w:rPr>
          <w:lang w:val="en-US"/>
        </w:rPr>
        <w:t>Fe</w:t>
      </w:r>
      <w:r w:rsidRPr="0099255B">
        <w:t xml:space="preserve">, </w:t>
      </w:r>
      <w:r w:rsidRPr="00A043A0">
        <w:rPr>
          <w:lang w:val="en-US"/>
        </w:rPr>
        <w:t>B</w:t>
      </w:r>
      <w:r w:rsidRPr="0099255B">
        <w:t xml:space="preserve">, </w:t>
      </w:r>
      <w:r w:rsidRPr="00A043A0">
        <w:rPr>
          <w:lang w:val="en-US"/>
        </w:rPr>
        <w:t>Zn</w:t>
      </w:r>
      <w:r w:rsidRPr="0099255B">
        <w:t xml:space="preserve">, </w:t>
      </w:r>
      <w:r w:rsidRPr="00A043A0">
        <w:rPr>
          <w:lang w:val="en-US"/>
        </w:rPr>
        <w:t>Cu</w:t>
      </w:r>
      <w:r w:rsidRPr="0099255B">
        <w:t xml:space="preserve">, </w:t>
      </w:r>
      <w:r w:rsidRPr="00A043A0">
        <w:rPr>
          <w:lang w:val="en-US"/>
        </w:rPr>
        <w:t>Mo</w:t>
      </w:r>
      <w:r w:rsidRPr="0099255B">
        <w:t xml:space="preserve">, </w:t>
      </w:r>
      <w:proofErr w:type="spellStart"/>
      <w:r w:rsidRPr="00A043A0">
        <w:rPr>
          <w:lang w:val="en-US"/>
        </w:rPr>
        <w:t>Mn</w:t>
      </w:r>
      <w:proofErr w:type="spellEnd"/>
      <w:r w:rsidRPr="0099255B">
        <w:t>).</w:t>
      </w:r>
    </w:p>
    <w:p w:rsidR="009C33AB" w:rsidRPr="0099255B" w:rsidRDefault="009C33AB" w:rsidP="009C33AB">
      <w:pPr>
        <w:rPr>
          <w:i/>
          <w:iCs/>
        </w:rPr>
      </w:pPr>
      <w:r w:rsidRPr="0099255B">
        <w:rPr>
          <w:i/>
          <w:iCs/>
        </w:rPr>
        <w:t xml:space="preserve">19. Θρεπτικό μέσο – </w:t>
      </w:r>
      <w:r w:rsidRPr="0099255B">
        <w:rPr>
          <w:iCs/>
        </w:rPr>
        <w:t>τροφή για την ανάπτυξη των εκφύτων. Περιέχει μακρο</w:t>
      </w:r>
      <w:r w:rsidRPr="0099255B">
        <w:t>- και μικροστοιχεία, βιταμίνες, ζάχαρη, και ρυθμιστές ανάπτυξης</w:t>
      </w:r>
      <w:r w:rsidRPr="0099255B">
        <w:rPr>
          <w:i/>
          <w:iCs/>
        </w:rPr>
        <w:t xml:space="preserve"> </w:t>
      </w:r>
    </w:p>
    <w:p w:rsidR="009C33AB" w:rsidRPr="0099255B" w:rsidRDefault="009C33AB" w:rsidP="009C33AB">
      <w:r w:rsidRPr="0099255B">
        <w:rPr>
          <w:i/>
          <w:iCs/>
        </w:rPr>
        <w:t>20. Στερεό θρεπτικό μέσο -  Θρεπτικό μέσο που έχει στερεοποιηθεί με άγαρ</w:t>
      </w:r>
    </w:p>
    <w:p w:rsidR="009C33AB" w:rsidRPr="0099255B" w:rsidRDefault="009C33AB" w:rsidP="009C33AB">
      <w:r w:rsidRPr="0099255B">
        <w:t xml:space="preserve">21. </w:t>
      </w:r>
      <w:r w:rsidRPr="0099255B">
        <w:rPr>
          <w:i/>
          <w:iCs/>
        </w:rPr>
        <w:t>Σωμακλωνική παραλλακτικότητα</w:t>
      </w:r>
      <w:r w:rsidRPr="0099255B">
        <w:t xml:space="preserve"> – γενετική αλλαγή που συμβαίνει κατά τη διάρκεια μεγάλου χρόνου έκθεσης ιστοκαλλιέργειας</w:t>
      </w:r>
    </w:p>
    <w:p w:rsidR="009C33AB" w:rsidRPr="0099255B" w:rsidRDefault="009C33AB" w:rsidP="009C33AB">
      <w:pPr>
        <w:rPr>
          <w:i/>
          <w:iCs/>
        </w:rPr>
      </w:pPr>
      <w:r w:rsidRPr="0099255B">
        <w:rPr>
          <w:i/>
          <w:iCs/>
        </w:rPr>
        <w:t xml:space="preserve">22. Αποστειρωμένο – </w:t>
      </w:r>
      <w:r w:rsidRPr="0099255B">
        <w:rPr>
          <w:iCs/>
        </w:rPr>
        <w:t>θρεπτικό ή αντικείμενο ελεύθερο από μικροοργανισμούς</w:t>
      </w:r>
      <w:r w:rsidRPr="0099255B">
        <w:rPr>
          <w:i/>
          <w:iCs/>
        </w:rPr>
        <w:t xml:space="preserve"> </w:t>
      </w:r>
    </w:p>
    <w:p w:rsidR="009C33AB" w:rsidRPr="0099255B" w:rsidRDefault="009C33AB" w:rsidP="009C33AB">
      <w:r w:rsidRPr="0099255B">
        <w:rPr>
          <w:i/>
          <w:iCs/>
        </w:rPr>
        <w:t xml:space="preserve">23.  Πρωτοπλάστες – </w:t>
      </w:r>
      <w:r w:rsidRPr="0099255B">
        <w:t>φυτικά κύτταρα χωρίς κυτταρικό τοίχωμα.</w:t>
      </w:r>
    </w:p>
    <w:p w:rsidR="009C33AB" w:rsidRPr="0099255B" w:rsidRDefault="009C33AB" w:rsidP="009C33AB">
      <w:pPr>
        <w:rPr>
          <w:i/>
          <w:iCs/>
        </w:rPr>
      </w:pPr>
      <w:r w:rsidRPr="0099255B">
        <w:rPr>
          <w:i/>
          <w:iCs/>
        </w:rPr>
        <w:t xml:space="preserve">24. Υποκαλιέργεια – </w:t>
      </w:r>
      <w:r w:rsidRPr="0099255B">
        <w:rPr>
          <w:iCs/>
        </w:rPr>
        <w:t>μεταφύτευση</w:t>
      </w:r>
      <w:r w:rsidRPr="0099255B">
        <w:rPr>
          <w:i/>
          <w:iCs/>
        </w:rPr>
        <w:t xml:space="preserve"> </w:t>
      </w:r>
      <w:r w:rsidRPr="00A043A0">
        <w:rPr>
          <w:i/>
          <w:iCs/>
          <w:lang w:val="en-US"/>
        </w:rPr>
        <w:t>in</w:t>
      </w:r>
      <w:r w:rsidRPr="0099255B">
        <w:rPr>
          <w:i/>
          <w:iCs/>
        </w:rPr>
        <w:t xml:space="preserve"> </w:t>
      </w:r>
      <w:r w:rsidRPr="00A043A0">
        <w:rPr>
          <w:i/>
          <w:iCs/>
          <w:lang w:val="en-US"/>
        </w:rPr>
        <w:t>vitro</w:t>
      </w:r>
      <w:r w:rsidRPr="0099255B">
        <w:rPr>
          <w:i/>
          <w:iCs/>
        </w:rPr>
        <w:t xml:space="preserve"> </w:t>
      </w:r>
      <w:r w:rsidRPr="0099255B">
        <w:rPr>
          <w:iCs/>
        </w:rPr>
        <w:t>αναπτυσσόμενων ιστών σε επιπλέον τρυβλία με φρέσκο θρεπτικό μέσο.</w:t>
      </w:r>
    </w:p>
    <w:p w:rsidR="009C33AB" w:rsidRPr="0099255B" w:rsidRDefault="009C33AB" w:rsidP="009C33AB">
      <w:r w:rsidRPr="0099255B">
        <w:rPr>
          <w:i/>
          <w:iCs/>
        </w:rPr>
        <w:t xml:space="preserve">25. Ολοδυναμία – </w:t>
      </w:r>
      <w:r w:rsidRPr="0099255B">
        <w:rPr>
          <w:iCs/>
        </w:rPr>
        <w:t>κάθε κύτταρο ενός πολυκύτταρου οργανισμού περιέχει όλα τα γονίδια που χρειάζονται για το σχηματισμό ενός ολόκληρου φυτού</w:t>
      </w:r>
      <w:r w:rsidRPr="0099255B">
        <w:t>.</w:t>
      </w:r>
      <w:r w:rsidRPr="0099255B">
        <w:rPr>
          <w:i/>
          <w:iCs/>
        </w:rPr>
        <w:t xml:space="preserve"> </w:t>
      </w:r>
    </w:p>
    <w:p w:rsidR="003077A0" w:rsidRDefault="003077A0">
      <w:bookmarkStart w:id="0" w:name="_GoBack"/>
      <w:bookmarkEnd w:id="0"/>
    </w:p>
    <w:sectPr w:rsidR="00307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B4DA5"/>
    <w:multiLevelType w:val="hybridMultilevel"/>
    <w:tmpl w:val="B946343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75AC27BE"/>
    <w:multiLevelType w:val="hybridMultilevel"/>
    <w:tmpl w:val="7ECCFDF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AB"/>
    <w:rsid w:val="003077A0"/>
    <w:rsid w:val="009C3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AB"/>
    <w:pPr>
      <w:spacing w:after="0" w:line="240" w:lineRule="auto"/>
    </w:pPr>
    <w:rPr>
      <w:rFonts w:ascii="Times New Roman" w:eastAsia="Batang" w:hAnsi="Times New Roman" w:cs="Times New Roman"/>
      <w:sz w:val="24"/>
      <w:szCs w:val="24"/>
      <w:lang w:val="el-G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C33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AB"/>
    <w:pPr>
      <w:spacing w:after="0" w:line="240" w:lineRule="auto"/>
    </w:pPr>
    <w:rPr>
      <w:rFonts w:ascii="Times New Roman" w:eastAsia="Batang" w:hAnsi="Times New Roman" w:cs="Times New Roman"/>
      <w:sz w:val="24"/>
      <w:szCs w:val="24"/>
      <w:lang w:val="el-G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C33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2020-11-09T07:55:00Z</dcterms:created>
  <dcterms:modified xsi:type="dcterms:W3CDTF">2020-11-09T07:56:00Z</dcterms:modified>
</cp:coreProperties>
</file>