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24F" w:rsidRDefault="00816290">
      <w:r>
        <w:rPr>
          <w:lang w:val="en-US"/>
        </w:rPr>
        <w:t xml:space="preserve">4o </w:t>
      </w:r>
      <w:r>
        <w:t>Μάθημα</w:t>
      </w:r>
    </w:p>
    <w:p w:rsidR="00816290" w:rsidRDefault="00816290"/>
    <w:p w:rsidR="00816290" w:rsidRDefault="00706F9B">
      <w:pPr>
        <w:rPr>
          <w:lang w:val="en-US"/>
        </w:rPr>
      </w:pPr>
      <w:proofErr w:type="spellStart"/>
      <w:r w:rsidRPr="00706F9B">
        <w:rPr>
          <w:rStyle w:val="a3"/>
          <w:rFonts w:ascii="Segoe UI" w:hAnsi="Segoe UI" w:cs="Segoe UI"/>
          <w:color w:val="0F1115"/>
          <w:shd w:val="clear" w:color="auto" w:fill="FFFFFF"/>
          <w:lang w:val="en-US"/>
        </w:rPr>
        <w:t>Sassen</w:t>
      </w:r>
      <w:proofErr w:type="spellEnd"/>
      <w:r w:rsidRPr="00706F9B">
        <w:rPr>
          <w:rStyle w:val="a3"/>
          <w:rFonts w:ascii="Segoe UI" w:hAnsi="Segoe UI" w:cs="Segoe UI"/>
          <w:color w:val="0F1115"/>
          <w:shd w:val="clear" w:color="auto" w:fill="FFFFFF"/>
          <w:lang w:val="en-US"/>
        </w:rPr>
        <w:t>, Saskia. </w:t>
      </w:r>
      <w:r w:rsidRPr="00706F9B">
        <w:rPr>
          <w:rStyle w:val="a4"/>
          <w:rFonts w:ascii="Segoe UI" w:hAnsi="Segoe UI" w:cs="Segoe UI"/>
          <w:b/>
          <w:bCs/>
          <w:color w:val="0F1115"/>
          <w:shd w:val="clear" w:color="auto" w:fill="FFFFFF"/>
          <w:lang w:val="en-US"/>
        </w:rPr>
        <w:t>The Global City: New York, London, Tokyo</w:t>
      </w:r>
      <w:r w:rsidRPr="00706F9B">
        <w:rPr>
          <w:rStyle w:val="a3"/>
          <w:rFonts w:ascii="Segoe UI" w:hAnsi="Segoe UI" w:cs="Segoe UI"/>
          <w:color w:val="0F1115"/>
          <w:shd w:val="clear" w:color="auto" w:fill="FFFFFF"/>
          <w:lang w:val="en-US"/>
        </w:rPr>
        <w:t xml:space="preserve">. (Princeton University Press, 2001). Second Edition. </w:t>
      </w:r>
      <w:proofErr w:type="spellStart"/>
      <w:r>
        <w:rPr>
          <w:rStyle w:val="a3"/>
          <w:rFonts w:ascii="Segoe UI" w:hAnsi="Segoe UI" w:cs="Segoe UI"/>
          <w:color w:val="0F1115"/>
          <w:shd w:val="clear" w:color="auto" w:fill="FFFFFF"/>
        </w:rPr>
        <w:t>Page</w:t>
      </w:r>
      <w:proofErr w:type="spellEnd"/>
      <w:r>
        <w:rPr>
          <w:rStyle w:val="a3"/>
          <w:rFonts w:ascii="Segoe UI" w:hAnsi="Segoe UI" w:cs="Segoe UI"/>
          <w:color w:val="0F1115"/>
          <w:shd w:val="clear" w:color="auto" w:fill="FFFFFF"/>
        </w:rPr>
        <w:t xml:space="preserve"> 5.</w:t>
      </w:r>
    </w:p>
    <w:p w:rsidR="00706F9B" w:rsidRDefault="00706F9B">
      <w:pPr>
        <w:rPr>
          <w:lang w:val="en-US"/>
        </w:rPr>
      </w:pPr>
    </w:p>
    <w:p w:rsidR="00706F9B" w:rsidRDefault="00706F9B">
      <w:pPr>
        <w:rPr>
          <w:rFonts w:ascii="Segoe UI" w:hAnsi="Segoe UI" w:cs="Segoe UI"/>
          <w:color w:val="0F1115"/>
          <w:shd w:val="clear" w:color="auto" w:fill="FFFFFF"/>
          <w:lang w:val="en-US"/>
        </w:rPr>
      </w:pPr>
      <w:r w:rsidRPr="00706F9B">
        <w:rPr>
          <w:rFonts w:ascii="Segoe UI" w:hAnsi="Segoe UI" w:cs="Segoe UI"/>
          <w:color w:val="0F1115"/>
          <w:shd w:val="clear" w:color="auto" w:fill="FFFFFF"/>
          <w:lang w:val="en-US"/>
        </w:rPr>
        <w:t>"The dispersal of economic activities and the expansion of central functions are two sides of the same dynamic. The more globalized a firm's operations, the more complex its central management and finance functions. </w:t>
      </w:r>
      <w:r w:rsidRPr="00706F9B">
        <w:rPr>
          <w:rStyle w:val="a3"/>
          <w:rFonts w:ascii="Segoe UI" w:hAnsi="Segoe UI" w:cs="Segoe UI"/>
          <w:color w:val="0F1115"/>
          <w:shd w:val="clear" w:color="auto" w:fill="FFFFFF"/>
          <w:lang w:val="en-US"/>
        </w:rPr>
        <w:t>The key point is that the more dispersed a firm's operations across different countries, the more centralized and the more complex its top-level management and finance functions become.</w:t>
      </w:r>
      <w:r w:rsidRPr="00706F9B">
        <w:rPr>
          <w:rFonts w:ascii="Segoe UI" w:hAnsi="Segoe UI" w:cs="Segoe UI"/>
          <w:color w:val="0F1115"/>
          <w:shd w:val="clear" w:color="auto" w:fill="FFFFFF"/>
          <w:lang w:val="en-US"/>
        </w:rPr>
        <w:t> This combination of spatial dispersal and system integration has contributed to a strategic role for certain major cities. </w:t>
      </w:r>
      <w:r w:rsidRPr="00706F9B">
        <w:rPr>
          <w:rStyle w:val="a3"/>
          <w:rFonts w:ascii="Segoe UI" w:hAnsi="Segoe UI" w:cs="Segoe UI"/>
          <w:color w:val="0F1115"/>
          <w:shd w:val="clear" w:color="auto" w:fill="FFFFFF"/>
          <w:lang w:val="en-US"/>
        </w:rPr>
        <w:t>These cities now function as command points in the organization of the world economy; as key locations for finance and for specialized service firms; as sites of production, including the production of innovation; and as markets for the products and innovations produced.</w:t>
      </w:r>
      <w:r w:rsidRPr="00706F9B">
        <w:rPr>
          <w:rFonts w:ascii="Segoe UI" w:hAnsi="Segoe UI" w:cs="Segoe UI"/>
          <w:color w:val="0F1115"/>
          <w:shd w:val="clear" w:color="auto" w:fill="FFFFFF"/>
          <w:lang w:val="en-US"/>
        </w:rPr>
        <w:t>"</w:t>
      </w:r>
    </w:p>
    <w:p w:rsidR="00706F9B" w:rsidRPr="005D0DBF" w:rsidRDefault="005D0DBF">
      <w:pPr>
        <w:rPr>
          <w:rFonts w:ascii="Segoe UI" w:hAnsi="Segoe UI" w:cs="Segoe UI"/>
          <w:color w:val="0F1115"/>
          <w:shd w:val="clear" w:color="auto" w:fill="FFFFFF"/>
          <w:lang w:val="en-US"/>
        </w:rPr>
      </w:pPr>
      <w:hyperlink r:id="rId4" w:history="1">
        <w:proofErr w:type="spellStart"/>
        <w:r>
          <w:rPr>
            <w:rStyle w:val="-"/>
          </w:rPr>
          <w:t>Saskia</w:t>
        </w:r>
        <w:proofErr w:type="spellEnd"/>
        <w:r>
          <w:rPr>
            <w:rStyle w:val="-"/>
          </w:rPr>
          <w:t xml:space="preserve"> </w:t>
        </w:r>
        <w:proofErr w:type="spellStart"/>
        <w:r>
          <w:rPr>
            <w:rStyle w:val="-"/>
          </w:rPr>
          <w:t>Sassen</w:t>
        </w:r>
        <w:proofErr w:type="spellEnd"/>
        <w:r>
          <w:rPr>
            <w:rStyle w:val="-"/>
          </w:rPr>
          <w:t xml:space="preserve"> | </w:t>
        </w:r>
        <w:proofErr w:type="spellStart"/>
        <w:r>
          <w:rPr>
            <w:rStyle w:val="-"/>
          </w:rPr>
          <w:t>Global</w:t>
        </w:r>
        <w:proofErr w:type="spellEnd"/>
        <w:r>
          <w:rPr>
            <w:rStyle w:val="-"/>
          </w:rPr>
          <w:t xml:space="preserve"> </w:t>
        </w:r>
        <w:proofErr w:type="spellStart"/>
        <w:r>
          <w:rPr>
            <w:rStyle w:val="-"/>
          </w:rPr>
          <w:t>Cities</w:t>
        </w:r>
        <w:proofErr w:type="spellEnd"/>
      </w:hyperlink>
      <w:r>
        <w:rPr>
          <w:lang w:val="en-US"/>
        </w:rPr>
        <w:t xml:space="preserve"> </w:t>
      </w:r>
    </w:p>
    <w:p w:rsidR="00706F9B" w:rsidRPr="00C152B4" w:rsidRDefault="00706F9B" w:rsidP="00706F9B">
      <w:pPr>
        <w:pStyle w:val="ds-markdown-paragraph"/>
        <w:shd w:val="clear" w:color="auto" w:fill="FFFFFF"/>
        <w:rPr>
          <w:rFonts w:ascii="Segoe UI" w:hAnsi="Segoe UI" w:cs="Segoe UI"/>
          <w:color w:val="0F1115"/>
          <w:lang w:val="en-US"/>
        </w:rPr>
      </w:pPr>
      <w:r w:rsidRPr="00C152B4">
        <w:rPr>
          <w:rFonts w:ascii="Segoe UI" w:hAnsi="Segoe UI" w:cs="Segoe UI"/>
          <w:color w:val="0F1115"/>
          <w:lang w:val="en-US"/>
        </w:rPr>
        <w:t>"We can think of the global city as a place where </w:t>
      </w:r>
      <w:r w:rsidRPr="00C152B4">
        <w:rPr>
          <w:rStyle w:val="a3"/>
          <w:rFonts w:ascii="Segoe UI" w:hAnsi="Segoe UI" w:cs="Segoe UI"/>
          <w:color w:val="0F1115"/>
          <w:lang w:val="en-US"/>
        </w:rPr>
        <w:t>local conditions—from the concentration of corporate headquarters to the structure of the economy and the employment relation—enable the implementation of global systems</w:t>
      </w:r>
      <w:r w:rsidRPr="00C152B4">
        <w:rPr>
          <w:rFonts w:ascii="Segoe UI" w:hAnsi="Segoe UI" w:cs="Segoe UI"/>
          <w:color w:val="0F1115"/>
          <w:lang w:val="en-US"/>
        </w:rPr>
        <w:t> (e.g., global financial markets). The city is a key ‘production site’ for the management of the global economic system and for the production of the corresponding resources, most notably, state-of-the-art financial and corporate services. </w:t>
      </w:r>
      <w:r w:rsidRPr="00C152B4">
        <w:rPr>
          <w:rStyle w:val="a3"/>
          <w:rFonts w:ascii="Segoe UI" w:hAnsi="Segoe UI" w:cs="Segoe UI"/>
          <w:color w:val="0F1115"/>
          <w:lang w:val="en-US"/>
        </w:rPr>
        <w:t>In this sense, the global city produces the organizational commodities necessary for the implementation and management of global economic processes.</w:t>
      </w:r>
      <w:r w:rsidRPr="00C152B4">
        <w:rPr>
          <w:rFonts w:ascii="Segoe UI" w:hAnsi="Segoe UI" w:cs="Segoe UI"/>
          <w:color w:val="0F1115"/>
          <w:lang w:val="en-US"/>
        </w:rPr>
        <w:t> What is specific to the global city is not merely the concentration of command functions but the </w:t>
      </w:r>
      <w:r w:rsidRPr="00C152B4">
        <w:rPr>
          <w:rStyle w:val="a3"/>
          <w:rFonts w:ascii="Segoe UI" w:hAnsi="Segoe UI" w:cs="Segoe UI"/>
          <w:color w:val="0F1115"/>
          <w:lang w:val="en-US"/>
        </w:rPr>
        <w:t>production of the capability for global control.</w:t>
      </w:r>
      <w:r w:rsidRPr="00C152B4">
        <w:rPr>
          <w:rFonts w:ascii="Segoe UI" w:hAnsi="Segoe UI" w:cs="Segoe UI"/>
          <w:color w:val="0F1115"/>
          <w:lang w:val="en-US"/>
        </w:rPr>
        <w:t>"</w:t>
      </w:r>
    </w:p>
    <w:p w:rsidR="00706F9B" w:rsidRDefault="00C152B4" w:rsidP="00706F9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lang w:val="en-US"/>
        </w:rPr>
      </w:pPr>
      <w:r>
        <w:rPr>
          <w:rFonts w:ascii="Segoe UI" w:hAnsi="Segoe UI" w:cs="Segoe UI"/>
          <w:color w:val="0F1115"/>
          <w:lang w:val="en-US"/>
        </w:rPr>
        <w:t>Ibid.,</w:t>
      </w:r>
      <w:r w:rsidR="00706F9B" w:rsidRPr="00C152B4">
        <w:rPr>
          <w:rFonts w:ascii="Segoe UI" w:hAnsi="Segoe UI" w:cs="Segoe UI"/>
          <w:color w:val="0F1115"/>
          <w:lang w:val="en-US"/>
        </w:rPr>
        <w:t xml:space="preserve"> p. 181</w:t>
      </w:r>
    </w:p>
    <w:p w:rsidR="00C152B4" w:rsidRDefault="00C152B4" w:rsidP="00706F9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lang w:val="en-US"/>
        </w:rPr>
      </w:pPr>
      <w:r>
        <w:rPr>
          <w:rFonts w:ascii="Segoe UI" w:hAnsi="Segoe UI" w:cs="Segoe UI"/>
          <w:color w:val="0F1115"/>
          <w:lang w:val="en-US"/>
        </w:rPr>
        <w:t>Migration=Labor</w:t>
      </w:r>
    </w:p>
    <w:p w:rsidR="00C152B4" w:rsidRPr="00C152B4" w:rsidRDefault="00C152B4" w:rsidP="00C152B4">
      <w:pPr>
        <w:pStyle w:val="ds-markdown-paragraph"/>
        <w:shd w:val="clear" w:color="auto" w:fill="FFFFFF"/>
        <w:spacing w:after="240" w:afterAutospacing="0"/>
        <w:rPr>
          <w:rFonts w:ascii="Segoe UI" w:hAnsi="Segoe UI" w:cs="Segoe UI"/>
          <w:color w:val="0F1115"/>
          <w:lang w:val="en-US"/>
        </w:rPr>
      </w:pPr>
      <w:r w:rsidRPr="00C152B4">
        <w:rPr>
          <w:rFonts w:ascii="Segoe UI" w:hAnsi="Segoe UI" w:cs="Segoe UI"/>
          <w:color w:val="0F1115"/>
          <w:lang w:val="en-US"/>
        </w:rPr>
        <w:t>"The growth of the global city is marked by an expansion of low-paying, low-status service jobs and a simultaneous rise in high-paying, high-status professional and managerial jobs. This polarized occupational structure creates a specific demand for migrant domestic workers. Professional women and men in the global city, unburdened from domestic chores, are able to participate more freely in the high-powered global economy. </w:t>
      </w:r>
      <w:r w:rsidRPr="00C152B4">
        <w:rPr>
          <w:rStyle w:val="a3"/>
          <w:rFonts w:ascii="Segoe UI" w:hAnsi="Segoe UI" w:cs="Segoe UI"/>
          <w:color w:val="0F1115"/>
          <w:lang w:val="en-US"/>
        </w:rPr>
        <w:t xml:space="preserve">The ability of professional women in the global city to pursue careers relies on the </w:t>
      </w:r>
      <w:r w:rsidRPr="00C152B4">
        <w:rPr>
          <w:rStyle w:val="a3"/>
          <w:rFonts w:ascii="Segoe UI" w:hAnsi="Segoe UI" w:cs="Segoe UI"/>
          <w:color w:val="0F1115"/>
          <w:lang w:val="en-US"/>
        </w:rPr>
        <w:lastRenderedPageBreak/>
        <w:t>labor of migrant women who have left their own families in the poor countries of the south to do so.</w:t>
      </w:r>
    </w:p>
    <w:p w:rsidR="00C152B4" w:rsidRPr="00C152B4" w:rsidRDefault="00C152B4" w:rsidP="00C152B4">
      <w:pPr>
        <w:pStyle w:val="ds-markdown-paragraph"/>
        <w:shd w:val="clear" w:color="auto" w:fill="FFFFFF"/>
        <w:spacing w:before="240" w:beforeAutospacing="0"/>
        <w:rPr>
          <w:rFonts w:ascii="Segoe UI" w:hAnsi="Segoe UI" w:cs="Segoe UI"/>
          <w:color w:val="0F1115"/>
          <w:lang w:val="en-US"/>
        </w:rPr>
      </w:pPr>
      <w:r w:rsidRPr="00C152B4">
        <w:rPr>
          <w:rFonts w:ascii="Segoe UI" w:hAnsi="Segoe UI" w:cs="Segoe UI"/>
          <w:color w:val="0F1115"/>
          <w:lang w:val="en-US"/>
        </w:rPr>
        <w:t>This generates what I call the </w:t>
      </w:r>
      <w:r w:rsidRPr="00C152B4">
        <w:rPr>
          <w:rStyle w:val="a3"/>
          <w:rFonts w:ascii="Segoe UI" w:hAnsi="Segoe UI" w:cs="Segoe UI"/>
          <w:color w:val="0F1115"/>
          <w:lang w:val="en-US"/>
        </w:rPr>
        <w:t>international division of reproductive labor</w:t>
      </w:r>
      <w:r w:rsidRPr="00C152B4">
        <w:rPr>
          <w:rFonts w:ascii="Segoe UI" w:hAnsi="Segoe UI" w:cs="Segoe UI"/>
          <w:color w:val="0F1115"/>
          <w:lang w:val="en-US"/>
        </w:rPr>
        <w:t>, a transfer of caretaking responsibilities from middle- and upper-class women in receiving countries to migrant women, who in turn transfer their own caretaking responsibilities to even poorer women back in their home countries. </w:t>
      </w:r>
      <w:r w:rsidRPr="00C152B4">
        <w:rPr>
          <w:rStyle w:val="a3"/>
          <w:rFonts w:ascii="Segoe UI" w:hAnsi="Segoe UI" w:cs="Segoe UI"/>
          <w:color w:val="0F1115"/>
          <w:lang w:val="en-US"/>
        </w:rPr>
        <w:t>The global city, then, is not only a site of capital accumulation but also a site for the perpetuation of global inequalities, as it is built on a chain of women's labor that stretches across the world.</w:t>
      </w:r>
      <w:r w:rsidRPr="00C152B4">
        <w:rPr>
          <w:rFonts w:ascii="Segoe UI" w:hAnsi="Segoe UI" w:cs="Segoe UI"/>
          <w:color w:val="0F1115"/>
          <w:lang w:val="en-US"/>
        </w:rPr>
        <w:t>"</w:t>
      </w:r>
    </w:p>
    <w:p w:rsidR="00C152B4" w:rsidRDefault="00C152B4" w:rsidP="00C152B4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C152B4">
        <w:rPr>
          <w:rFonts w:ascii="Segoe UI" w:hAnsi="Segoe UI" w:cs="Segoe UI"/>
          <w:color w:val="0F1115"/>
          <w:lang w:val="en-US"/>
        </w:rPr>
        <w:t xml:space="preserve">— </w:t>
      </w:r>
      <w:proofErr w:type="spellStart"/>
      <w:r w:rsidRPr="00C152B4">
        <w:rPr>
          <w:rFonts w:ascii="Segoe UI" w:hAnsi="Segoe UI" w:cs="Segoe UI"/>
          <w:color w:val="0F1115"/>
          <w:lang w:val="en-US"/>
        </w:rPr>
        <w:t>Parreñas</w:t>
      </w:r>
      <w:proofErr w:type="spellEnd"/>
      <w:r w:rsidRPr="00C152B4">
        <w:rPr>
          <w:rFonts w:ascii="Segoe UI" w:hAnsi="Segoe UI" w:cs="Segoe UI"/>
          <w:color w:val="0F1115"/>
          <w:lang w:val="en-US"/>
        </w:rPr>
        <w:t xml:space="preserve">, </w:t>
      </w:r>
      <w:proofErr w:type="spellStart"/>
      <w:r w:rsidRPr="00C152B4">
        <w:rPr>
          <w:rFonts w:ascii="Segoe UI" w:hAnsi="Segoe UI" w:cs="Segoe UI"/>
          <w:color w:val="0F1115"/>
          <w:lang w:val="en-US"/>
        </w:rPr>
        <w:t>Rhacel</w:t>
      </w:r>
      <w:proofErr w:type="spellEnd"/>
      <w:r w:rsidRPr="00C152B4">
        <w:rPr>
          <w:rFonts w:ascii="Segoe UI" w:hAnsi="Segoe UI" w:cs="Segoe UI"/>
          <w:color w:val="0F1115"/>
          <w:lang w:val="en-US"/>
        </w:rPr>
        <w:t xml:space="preserve"> Salazar. </w:t>
      </w:r>
      <w:r w:rsidRPr="00C152B4">
        <w:rPr>
          <w:rStyle w:val="a4"/>
          <w:rFonts w:ascii="Segoe UI" w:hAnsi="Segoe UI" w:cs="Segoe UI"/>
          <w:color w:val="0F1115"/>
          <w:lang w:val="en-US"/>
        </w:rPr>
        <w:t>Servants of Globalization: Women, Migration, and Domestic Work</w:t>
      </w:r>
      <w:r w:rsidRPr="00C152B4">
        <w:rPr>
          <w:rFonts w:ascii="Segoe UI" w:hAnsi="Segoe UI" w:cs="Segoe UI"/>
          <w:color w:val="0F1115"/>
          <w:lang w:val="en-US"/>
        </w:rPr>
        <w:t> (Stanford University Press, 2015, 2nd ed.). </w:t>
      </w:r>
      <w:proofErr w:type="spellStart"/>
      <w:r>
        <w:rPr>
          <w:rStyle w:val="a3"/>
          <w:rFonts w:ascii="Segoe UI" w:hAnsi="Segoe UI" w:cs="Segoe UI"/>
          <w:color w:val="0F1115"/>
        </w:rPr>
        <w:t>Page</w:t>
      </w:r>
      <w:proofErr w:type="spellEnd"/>
      <w:r>
        <w:rPr>
          <w:rStyle w:val="a3"/>
          <w:rFonts w:ascii="Segoe UI" w:hAnsi="Segoe UI" w:cs="Segoe UI"/>
          <w:color w:val="0F1115"/>
        </w:rPr>
        <w:t xml:space="preserve"> 34</w:t>
      </w:r>
      <w:r>
        <w:rPr>
          <w:rFonts w:ascii="Segoe UI" w:hAnsi="Segoe UI" w:cs="Segoe UI"/>
          <w:color w:val="0F1115"/>
        </w:rPr>
        <w:t>.</w:t>
      </w:r>
    </w:p>
    <w:p w:rsidR="00C152B4" w:rsidRPr="00C152B4" w:rsidRDefault="00C152B4" w:rsidP="00706F9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lang w:val="en-US"/>
        </w:rPr>
      </w:pPr>
    </w:p>
    <w:p w:rsidR="00706F9B" w:rsidRDefault="005D0DBF">
      <w:pPr>
        <w:rPr>
          <w:rFonts w:ascii="Segoe UI" w:hAnsi="Segoe UI" w:cs="Segoe UI"/>
          <w:color w:val="0F1115"/>
          <w:shd w:val="clear" w:color="auto" w:fill="FFFFFF"/>
          <w:lang w:val="en-US"/>
        </w:rPr>
      </w:pPr>
      <w:hyperlink r:id="rId5" w:history="1">
        <w:r w:rsidRPr="009E1FD3">
          <w:rPr>
            <w:rStyle w:val="-"/>
            <w:rFonts w:ascii="Segoe UI" w:hAnsi="Segoe UI" w:cs="Segoe UI"/>
            <w:shd w:val="clear" w:color="auto" w:fill="FFFFFF"/>
            <w:lang w:val="en-US"/>
          </w:rPr>
          <w:t>https://youtu.be/Ie3NQJBmDJM?si=-ToT4O18b1VI89Rd</w:t>
        </w:r>
      </w:hyperlink>
      <w:r>
        <w:rPr>
          <w:rFonts w:ascii="Segoe UI" w:hAnsi="Segoe UI" w:cs="Segoe UI"/>
          <w:color w:val="0F1115"/>
          <w:shd w:val="clear" w:color="auto" w:fill="FFFFFF"/>
          <w:lang w:val="en-US"/>
        </w:rPr>
        <w:t xml:space="preserve"> </w:t>
      </w:r>
    </w:p>
    <w:p w:rsidR="00D33FD7" w:rsidRDefault="00D33FD7">
      <w:pPr>
        <w:rPr>
          <w:rFonts w:ascii="Segoe UI" w:hAnsi="Segoe UI" w:cs="Segoe UI"/>
          <w:color w:val="0F1115"/>
          <w:shd w:val="clear" w:color="auto" w:fill="FFFFFF"/>
          <w:lang w:val="en-US"/>
        </w:rPr>
      </w:pPr>
    </w:p>
    <w:p w:rsidR="00D33FD7" w:rsidRPr="00D33FD7" w:rsidRDefault="00D33FD7" w:rsidP="00D33FD7">
      <w:pPr>
        <w:pStyle w:val="ds-markdown-paragraph"/>
        <w:shd w:val="clear" w:color="auto" w:fill="FFFFFF"/>
        <w:spacing w:after="240" w:afterAutospacing="0"/>
        <w:rPr>
          <w:rFonts w:ascii="Segoe UI" w:hAnsi="Segoe UI" w:cs="Segoe UI"/>
          <w:color w:val="0F1115"/>
          <w:lang w:val="en-US"/>
        </w:rPr>
      </w:pPr>
      <w:r w:rsidRPr="00D33FD7">
        <w:rPr>
          <w:rFonts w:ascii="Segoe UI" w:hAnsi="Segoe UI" w:cs="Segoe UI"/>
          <w:color w:val="0F1115"/>
          <w:lang w:val="en-US"/>
        </w:rPr>
        <w:t>"The rise of the ‘megacity’ in the late twentieth century has been accompanied by an unprecedented expansion of urban poverty. We are now in the age of the </w:t>
      </w:r>
      <w:r w:rsidRPr="00D33FD7">
        <w:rPr>
          <w:rStyle w:val="a3"/>
          <w:rFonts w:ascii="Segoe UI" w:hAnsi="Segoe UI" w:cs="Segoe UI"/>
          <w:color w:val="0F1115"/>
          <w:lang w:val="en-US"/>
        </w:rPr>
        <w:t>slum</w:t>
      </w:r>
      <w:r w:rsidRPr="00D33FD7">
        <w:rPr>
          <w:rFonts w:ascii="Segoe UI" w:hAnsi="Segoe UI" w:cs="Segoe UI"/>
          <w:color w:val="0F1115"/>
          <w:lang w:val="en-US"/>
        </w:rPr>
        <w:t>. Contrary to the expectations of classical social theory, the city is not modernizing the countryside; rather, the countryside is ‘urbanizing’ the city with its influx of desperate, surplus populations.</w:t>
      </w:r>
    </w:p>
    <w:p w:rsidR="00D33FD7" w:rsidRPr="00D33FD7" w:rsidRDefault="00D33FD7" w:rsidP="00D33FD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lang w:val="en-US"/>
        </w:rPr>
      </w:pPr>
      <w:r w:rsidRPr="00D33FD7">
        <w:rPr>
          <w:rFonts w:ascii="Segoe UI" w:hAnsi="Segoe UI" w:cs="Segoe UI"/>
          <w:color w:val="0F1115"/>
          <w:lang w:val="en-US"/>
        </w:rPr>
        <w:t>This is not the traditional poverty of the stable, if overcrowded, inner-city tenement. It is a </w:t>
      </w:r>
      <w:r w:rsidRPr="00D33FD7">
        <w:rPr>
          <w:rStyle w:val="a3"/>
          <w:rFonts w:ascii="Segoe UI" w:hAnsi="Segoe UI" w:cs="Segoe UI"/>
          <w:color w:val="0F1115"/>
          <w:lang w:val="en-US"/>
        </w:rPr>
        <w:t>poverty of relentless growth, informal survival, and environmental degradation</w:t>
      </w:r>
      <w:r w:rsidRPr="00D33FD7">
        <w:rPr>
          <w:rFonts w:ascii="Segoe UI" w:hAnsi="Segoe UI" w:cs="Segoe UI"/>
          <w:color w:val="0F1115"/>
          <w:lang w:val="en-US"/>
        </w:rPr>
        <w:t>, a poverty that has been systematically disconnected from the formal economy and the state. The future of human solidarity, he suggests, depends upon the </w:t>
      </w:r>
      <w:r w:rsidRPr="00D33FD7">
        <w:rPr>
          <w:rStyle w:val="a3"/>
          <w:rFonts w:ascii="Segoe UI" w:hAnsi="Segoe UI" w:cs="Segoe UI"/>
          <w:color w:val="0F1115"/>
          <w:lang w:val="en-US"/>
        </w:rPr>
        <w:t>unlikely alliances between the slum-dwelling ‘informal proletariat’ and the organized, formal-sector working class.</w:t>
      </w:r>
      <w:r w:rsidRPr="00D33FD7">
        <w:rPr>
          <w:rFonts w:ascii="Segoe UI" w:hAnsi="Segoe UI" w:cs="Segoe UI"/>
          <w:color w:val="0F1115"/>
          <w:lang w:val="en-US"/>
        </w:rPr>
        <w:t>"</w:t>
      </w:r>
    </w:p>
    <w:p w:rsidR="00D33FD7" w:rsidRDefault="00D33FD7" w:rsidP="00D33FD7">
      <w:pPr>
        <w:pStyle w:val="ds-markdown-paragraph"/>
        <w:shd w:val="clear" w:color="auto" w:fill="FFFFFF"/>
        <w:spacing w:before="240" w:beforeAutospacing="0"/>
        <w:rPr>
          <w:rFonts w:ascii="Segoe UI" w:hAnsi="Segoe UI" w:cs="Segoe UI"/>
          <w:color w:val="0F1115"/>
        </w:rPr>
      </w:pPr>
      <w:r w:rsidRPr="00D33FD7">
        <w:rPr>
          <w:rFonts w:ascii="Segoe UI" w:hAnsi="Segoe UI" w:cs="Segoe UI"/>
          <w:color w:val="0F1115"/>
          <w:lang w:val="en-US"/>
        </w:rPr>
        <w:t>— Davis, Mike. </w:t>
      </w:r>
      <w:r w:rsidRPr="00D33FD7">
        <w:rPr>
          <w:rStyle w:val="a4"/>
          <w:rFonts w:ascii="Segoe UI" w:hAnsi="Segoe UI" w:cs="Segoe UI"/>
          <w:color w:val="0F1115"/>
          <w:lang w:val="en-US"/>
        </w:rPr>
        <w:t>Planet of Slums</w:t>
      </w:r>
      <w:r w:rsidRPr="00D33FD7">
        <w:rPr>
          <w:rFonts w:ascii="Segoe UI" w:hAnsi="Segoe UI" w:cs="Segoe UI"/>
          <w:color w:val="0F1115"/>
          <w:lang w:val="en-US"/>
        </w:rPr>
        <w:t xml:space="preserve">. </w:t>
      </w:r>
      <w:r>
        <w:rPr>
          <w:rFonts w:ascii="Segoe UI" w:hAnsi="Segoe UI" w:cs="Segoe UI"/>
          <w:color w:val="0F1115"/>
        </w:rPr>
        <w:t>(</w:t>
      </w:r>
      <w:proofErr w:type="spellStart"/>
      <w:r>
        <w:rPr>
          <w:rFonts w:ascii="Segoe UI" w:hAnsi="Segoe UI" w:cs="Segoe UI"/>
          <w:color w:val="0F1115"/>
        </w:rPr>
        <w:t>Verso</w:t>
      </w:r>
      <w:proofErr w:type="spellEnd"/>
      <w:r>
        <w:rPr>
          <w:rFonts w:ascii="Segoe UI" w:hAnsi="Segoe UI" w:cs="Segoe UI"/>
          <w:color w:val="0F1115"/>
        </w:rPr>
        <w:t>, 2006). </w:t>
      </w:r>
      <w:proofErr w:type="spellStart"/>
      <w:r>
        <w:rPr>
          <w:rStyle w:val="a3"/>
          <w:rFonts w:ascii="Segoe UI" w:hAnsi="Segoe UI" w:cs="Segoe UI"/>
          <w:color w:val="0F1115"/>
        </w:rPr>
        <w:t>Page</w:t>
      </w:r>
      <w:proofErr w:type="spellEnd"/>
      <w:r>
        <w:rPr>
          <w:rStyle w:val="a3"/>
          <w:rFonts w:ascii="Segoe UI" w:hAnsi="Segoe UI" w:cs="Segoe UI"/>
          <w:color w:val="0F1115"/>
        </w:rPr>
        <w:t xml:space="preserve"> 19</w:t>
      </w:r>
      <w:r>
        <w:rPr>
          <w:rFonts w:ascii="Segoe UI" w:hAnsi="Segoe UI" w:cs="Segoe UI"/>
          <w:color w:val="0F1115"/>
        </w:rPr>
        <w:t>.</w:t>
      </w:r>
    </w:p>
    <w:p w:rsidR="00D33FD7" w:rsidRDefault="00D33FD7">
      <w:pPr>
        <w:rPr>
          <w:rFonts w:ascii="Segoe UI" w:hAnsi="Segoe UI" w:cs="Segoe UI"/>
          <w:color w:val="0F1115"/>
          <w:shd w:val="clear" w:color="auto" w:fill="FFFFFF"/>
          <w:lang w:val="en-US"/>
        </w:rPr>
      </w:pPr>
      <w:bookmarkStart w:id="0" w:name="_GoBack"/>
      <w:bookmarkEnd w:id="0"/>
    </w:p>
    <w:p w:rsidR="00706F9B" w:rsidRDefault="00706F9B">
      <w:pPr>
        <w:rPr>
          <w:lang w:val="en-US"/>
        </w:rPr>
      </w:pPr>
    </w:p>
    <w:p w:rsidR="00706F9B" w:rsidRPr="00706F9B" w:rsidRDefault="00706F9B">
      <w:pPr>
        <w:rPr>
          <w:lang w:val="en-US"/>
        </w:rPr>
      </w:pPr>
    </w:p>
    <w:sectPr w:rsidR="00706F9B" w:rsidRPr="00706F9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90"/>
    <w:rsid w:val="0021724F"/>
    <w:rsid w:val="005D0DBF"/>
    <w:rsid w:val="00706F9B"/>
    <w:rsid w:val="00816290"/>
    <w:rsid w:val="00C152B4"/>
    <w:rsid w:val="00D3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336FC"/>
  <w15:chartTrackingRefBased/>
  <w15:docId w15:val="{16358C7B-2011-4AA8-AF62-8C207A73B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6F9B"/>
    <w:rPr>
      <w:b/>
      <w:bCs/>
    </w:rPr>
  </w:style>
  <w:style w:type="character" w:styleId="a4">
    <w:name w:val="Emphasis"/>
    <w:basedOn w:val="a0"/>
    <w:uiPriority w:val="20"/>
    <w:qFormat/>
    <w:rsid w:val="00706F9B"/>
    <w:rPr>
      <w:i/>
      <w:iCs/>
    </w:rPr>
  </w:style>
  <w:style w:type="paragraph" w:customStyle="1" w:styleId="ds-markdown-paragraph">
    <w:name w:val="ds-markdown-paragraph"/>
    <w:basedOn w:val="a"/>
    <w:rsid w:val="00706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5D0DBF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5D0D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7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89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9329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211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Ie3NQJBmDJM?si=-ToT4O18b1VI89Rd" TargetMode="External"/><Relationship Id="rId4" Type="http://schemas.openxmlformats.org/officeDocument/2006/relationships/hyperlink" Target="https://www.youtube.com/watch?v=ZP2VE7ptKjI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633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HISTORY LAB</dc:creator>
  <cp:keywords/>
  <dc:description/>
  <cp:lastModifiedBy>HISTORY LAB</cp:lastModifiedBy>
  <cp:revision>1</cp:revision>
  <dcterms:created xsi:type="dcterms:W3CDTF">2025-10-18T11:12:00Z</dcterms:created>
  <dcterms:modified xsi:type="dcterms:W3CDTF">2025-10-21T10:32:00Z</dcterms:modified>
</cp:coreProperties>
</file>