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53CC">
      <w:pPr>
        <w:jc w:val="both"/>
        <w:rPr>
          <w:rFonts w:ascii="Calibri" w:hAnsi="Calibri" w:cs="Calibri"/>
          <w:b/>
          <w:bCs/>
          <w:lang w:val="el-GR"/>
        </w:rPr>
      </w:pPr>
      <w:r>
        <w:rPr>
          <w:rFonts w:ascii="Calibri" w:hAnsi="Calibri" w:cs="Calibri"/>
          <w:b/>
          <w:bCs/>
          <w:lang w:val="el-GR"/>
        </w:rPr>
        <w:t>Συστηματική ανασκόπηση και μετα-ανάλυση για την αντιοξειδωτική δράση του λυκίσκου (</w:t>
      </w:r>
      <w:r>
        <w:rPr>
          <w:rFonts w:ascii="Calibri" w:hAnsi="Calibri" w:cs="Calibri"/>
          <w:b/>
          <w:bCs/>
        </w:rPr>
        <w:t>Humulus</w:t>
      </w:r>
      <w:r>
        <w:rPr>
          <w:rFonts w:ascii="Calibri" w:hAnsi="Calibri" w:cs="Calibri"/>
          <w:b/>
          <w:bCs/>
          <w:lang w:val="el-GR"/>
        </w:rPr>
        <w:t xml:space="preserve"> </w:t>
      </w:r>
      <w:r>
        <w:rPr>
          <w:rFonts w:ascii="Calibri" w:hAnsi="Calibri" w:cs="Calibri"/>
          <w:b/>
          <w:bCs/>
        </w:rPr>
        <w:t>lupulus</w:t>
      </w:r>
      <w:r>
        <w:rPr>
          <w:rFonts w:ascii="Calibri" w:hAnsi="Calibri" w:cs="Calibri"/>
          <w:b/>
          <w:bCs/>
          <w:lang w:val="el-GR"/>
        </w:rPr>
        <w:t>) σε ασθενή μοντέλα ζωών</w:t>
      </w:r>
    </w:p>
    <w:p w14:paraId="0C923AD0">
      <w:pPr>
        <w:jc w:val="both"/>
        <w:rPr>
          <w:rFonts w:ascii="Calibri" w:hAnsi="Calibri" w:cs="Calibri"/>
          <w:lang w:val="el-GR"/>
        </w:rPr>
      </w:pPr>
    </w:p>
    <w:p w14:paraId="45839388">
      <w:pPr>
        <w:jc w:val="both"/>
        <w:rPr>
          <w:rFonts w:ascii="Calibri" w:hAnsi="Calibri" w:cs="Calibri"/>
          <w:lang w:val="el-GR"/>
        </w:rPr>
      </w:pPr>
      <w:r>
        <w:rPr>
          <w:rFonts w:ascii="Calibri" w:hAnsi="Calibri" w:cs="Calibri"/>
          <w:lang w:val="el-GR"/>
        </w:rPr>
        <w:t>Το οξειδωτικό στρες αποτελεί βασικό παθοφυσιολογικό μηχανισμό σε πλήθος χρόνιων και εκφυλιστικών νοσημάτων. Τα εκχυλίσματα λυκίσκου (</w:t>
      </w:r>
      <w:r>
        <w:rPr>
          <w:rFonts w:ascii="Calibri" w:hAnsi="Calibri" w:cs="Calibri"/>
        </w:rPr>
        <w:t>Humulus</w:t>
      </w:r>
      <w:r>
        <w:rPr>
          <w:rFonts w:ascii="Calibri" w:hAnsi="Calibri" w:cs="Calibri"/>
          <w:lang w:val="el-GR"/>
        </w:rPr>
        <w:t xml:space="preserve"> </w:t>
      </w:r>
      <w:r>
        <w:rPr>
          <w:rFonts w:ascii="Calibri" w:hAnsi="Calibri" w:cs="Calibri"/>
        </w:rPr>
        <w:t>lupulus</w:t>
      </w:r>
      <w:r>
        <w:rPr>
          <w:rFonts w:ascii="Calibri" w:hAnsi="Calibri" w:cs="Calibri"/>
          <w:lang w:val="el-GR"/>
        </w:rPr>
        <w:t>), καθώς και μεμονωμένες βιοδραστικές ενώσεις του—όπως η ξανθοχουμόλη, η ισοξανθοχουμόλη και άλλα πρενυλιωμένα φλαβονοειδή—έχουν αναδείξει σημαντικές αντιοξειδωτικές ιδιότητες σε πειραματικές μελέτες. Ωστόσο, δεν υπάρχει μέχρι σήμερα μία ολοκληρωμένη ποσοτική σύνθεση που να αξιολογεί την αποτελεσματικότητα αυτών των ενώσεων σε νοσούντα ζωικά μοντέλα.</w:t>
      </w:r>
    </w:p>
    <w:p w14:paraId="63BFA9BC">
      <w:pPr>
        <w:jc w:val="both"/>
        <w:rPr>
          <w:rFonts w:ascii="Calibri" w:hAnsi="Calibri" w:cs="Calibri"/>
          <w:lang w:val="el-GR"/>
        </w:rPr>
      </w:pPr>
      <w:r>
        <w:rPr>
          <w:rFonts w:ascii="Calibri" w:hAnsi="Calibri" w:cs="Calibri"/>
          <w:lang w:val="el-GR"/>
        </w:rPr>
        <w:t xml:space="preserve">Η παρούσα μελέτη θα πραγματοποιήσει συστηματική ανασκόπηση και μετα-ανάλυση για να εκτιμήσει την αντιοξειδωτική δράση εκχυλισμάτων και ενώσεων του λυκίσκου σε πειραματόζωα με επαγόμενη νόσο. Επιλέξιμες θα είναι μελέτες που συγκρίνουν βιοδείκτες οξειδωτικού στρες σε: (α) υγιείς μάρτυρες, (β) νοσούντα, μη θεραπευμένα ζώα, και (γ) νοσούντα ζώα που έλαβαν θεραπεία με προϊόντα λυκίσκου. Τα κύρια καταληκτικά σημεία θα περιλαμβάνουν δείκτες όπως </w:t>
      </w:r>
      <w:r>
        <w:rPr>
          <w:rFonts w:ascii="Calibri" w:hAnsi="Calibri" w:cs="Calibri"/>
        </w:rPr>
        <w:t>MDA</w:t>
      </w:r>
      <w:r>
        <w:rPr>
          <w:rFonts w:ascii="Calibri" w:hAnsi="Calibri" w:cs="Calibri"/>
          <w:lang w:val="el-GR"/>
        </w:rPr>
        <w:t xml:space="preserve">, </w:t>
      </w:r>
      <w:r>
        <w:rPr>
          <w:rFonts w:ascii="Calibri" w:hAnsi="Calibri" w:cs="Calibri"/>
        </w:rPr>
        <w:t>TBARS</w:t>
      </w:r>
      <w:r>
        <w:rPr>
          <w:rFonts w:ascii="Calibri" w:hAnsi="Calibri" w:cs="Calibri"/>
          <w:lang w:val="el-GR"/>
        </w:rPr>
        <w:t>, καταλάση (</w:t>
      </w:r>
      <w:r>
        <w:rPr>
          <w:rFonts w:ascii="Calibri" w:hAnsi="Calibri" w:cs="Calibri"/>
        </w:rPr>
        <w:t>CAT</w:t>
      </w:r>
      <w:r>
        <w:rPr>
          <w:rFonts w:ascii="Calibri" w:hAnsi="Calibri" w:cs="Calibri"/>
          <w:lang w:val="el-GR"/>
        </w:rPr>
        <w:t>), υπεροξειδική δισμουτάση (</w:t>
      </w:r>
      <w:r>
        <w:rPr>
          <w:rFonts w:ascii="Calibri" w:hAnsi="Calibri" w:cs="Calibri"/>
        </w:rPr>
        <w:t>SOD</w:t>
      </w:r>
      <w:r>
        <w:rPr>
          <w:rFonts w:ascii="Calibri" w:hAnsi="Calibri" w:cs="Calibri"/>
          <w:lang w:val="el-GR"/>
        </w:rPr>
        <w:t>), γλουταθειόνη (</w:t>
      </w:r>
      <w:r>
        <w:rPr>
          <w:rFonts w:ascii="Calibri" w:hAnsi="Calibri" w:cs="Calibri"/>
        </w:rPr>
        <w:t>GSH</w:t>
      </w:r>
      <w:r>
        <w:rPr>
          <w:rFonts w:ascii="Calibri" w:hAnsi="Calibri" w:cs="Calibri"/>
          <w:lang w:val="el-GR"/>
        </w:rPr>
        <w:t>) και άλλους ενζυμικούς ή μη ενζυμικούς δείκτες αντιοξειδωτικής κατάστασης.</w:t>
      </w:r>
    </w:p>
    <w:p w14:paraId="4ADF8FA0">
      <w:pPr>
        <w:jc w:val="both"/>
        <w:rPr>
          <w:rFonts w:ascii="Calibri" w:hAnsi="Calibri" w:cs="Calibri"/>
          <w:lang w:val="el-GR"/>
        </w:rPr>
      </w:pPr>
      <w:r>
        <w:rPr>
          <w:rFonts w:ascii="Calibri" w:hAnsi="Calibri" w:cs="Calibri"/>
          <w:lang w:val="el-GR"/>
        </w:rPr>
        <w:t xml:space="preserve">Ακολουθώντας τις οδηγίες </w:t>
      </w:r>
      <w:r>
        <w:rPr>
          <w:rFonts w:ascii="Calibri" w:hAnsi="Calibri" w:cs="Calibri"/>
        </w:rPr>
        <w:t>PRISMA</w:t>
      </w:r>
      <w:r>
        <w:rPr>
          <w:rFonts w:ascii="Calibri" w:hAnsi="Calibri" w:cs="Calibri"/>
          <w:lang w:val="el-GR"/>
        </w:rPr>
        <w:t>, θα πραγματοποιηθεί συστηματική αναζήτηση στη βιβλιογραφία, διπλός έλεγχος και εξαγωγή δεδομένων, καθώς και αξιολόγηση της ποιότητας των μελετών με κατάλληλα εργαλεία για πειραματόζωα. Με χρήση μοντέλων τυχαίων επιδράσεων θα υπολογιστούν τα συνολικά μεγέθη επίδρασης των παρεμβάσεων λυκίσκου σε σύγκριση με νοσούντα ζώα χωρίς θεραπεία, ενώ υπο-ομαδοποιήσεις θα διερευνήσουν πιθανές διαφοροποιήσεις ανά τύπο ένωσης, δόση, διάρκεια, τύπο νόσου και είδος ιστού.</w:t>
      </w:r>
    </w:p>
    <w:p w14:paraId="7D95D067">
      <w:pPr>
        <w:jc w:val="both"/>
        <w:rPr>
          <w:rFonts w:ascii="Calibri" w:hAnsi="Calibri" w:cs="Calibri"/>
          <w:lang w:val="el-GR"/>
        </w:rPr>
      </w:pPr>
      <w:r>
        <w:rPr>
          <w:rFonts w:ascii="Calibri" w:hAnsi="Calibri" w:cs="Calibri"/>
          <w:lang w:val="el-GR"/>
        </w:rPr>
        <w:t xml:space="preserve">Η εργασία αυτή στοχεύει να αποτελέσει την πρώτη ποσοτική σύνθεση των αντιοξειδωτικών αποκρίσεων σε προϊόντα λυκίσκου σε νοσούντα ζωικά μοντέλα, προσφέροντας μηχανιστικές γνώσεις και κατευθυντήριες γραμμές για μελλοντικές προκλινικές και μεταφραστικές μελέτες σχετικά με το θεραπευτικό δυναμικό του </w:t>
      </w:r>
      <w:r>
        <w:rPr>
          <w:rFonts w:ascii="Calibri" w:hAnsi="Calibri" w:cs="Calibri"/>
        </w:rPr>
        <w:t>Humulus</w:t>
      </w:r>
      <w:r>
        <w:rPr>
          <w:rFonts w:ascii="Calibri" w:hAnsi="Calibri" w:cs="Calibri"/>
          <w:lang w:val="el-GR"/>
        </w:rPr>
        <w:t xml:space="preserve"> </w:t>
      </w:r>
      <w:r>
        <w:rPr>
          <w:rFonts w:ascii="Calibri" w:hAnsi="Calibri" w:cs="Calibri"/>
        </w:rPr>
        <w:t>lupulus</w:t>
      </w:r>
      <w:r>
        <w:rPr>
          <w:rFonts w:ascii="Calibri" w:hAnsi="Calibri" w:cs="Calibri"/>
          <w:lang w:val="el-GR"/>
        </w:rPr>
        <w:t>.</w:t>
      </w:r>
    </w:p>
    <w:p w14:paraId="15722D0D">
      <w:pPr>
        <w:jc w:val="both"/>
        <w:rPr>
          <w:rFonts w:ascii="Calibri" w:hAnsi="Calibri" w:cs="Calibri"/>
          <w:b/>
          <w:bCs/>
        </w:rPr>
      </w:pPr>
      <w:r>
        <w:rPr>
          <w:rFonts w:ascii="Calibri" w:hAnsi="Calibri" w:cs="Calibri"/>
          <w:b/>
          <w:bCs/>
        </w:rPr>
        <w:t>LITERATURE</w:t>
      </w:r>
    </w:p>
    <w:p w14:paraId="52743BC7">
      <w:pPr>
        <w:pStyle w:val="4"/>
        <w:numPr>
          <w:ilvl w:val="0"/>
          <w:numId w:val="1"/>
        </w:numPr>
        <w:jc w:val="both"/>
        <w:rPr>
          <w:rFonts w:ascii="Calibri" w:hAnsi="Calibri" w:cs="Calibri"/>
        </w:rPr>
      </w:pPr>
      <w:r>
        <w:rPr>
          <w:rFonts w:ascii="Calibri" w:hAnsi="Calibri" w:cs="Calibri"/>
        </w:rPr>
        <w:t>Stevens JF, Page JE. Xanthohumol and related prenylflavonoids from hops and beer: to your good health! Phytochemistry. 2004 May;65(10):1317-30. doi: 10.1016/j.phytochem.2004.04.025. PMID: 15231405.</w:t>
      </w:r>
    </w:p>
    <w:p w14:paraId="5EBBCF12">
      <w:pPr>
        <w:pStyle w:val="4"/>
        <w:numPr>
          <w:ilvl w:val="0"/>
          <w:numId w:val="1"/>
        </w:numPr>
        <w:jc w:val="both"/>
      </w:pPr>
      <w:r>
        <w:rPr>
          <w:rFonts w:ascii="Calibri" w:hAnsi="Calibri" w:cs="Calibri"/>
        </w:rPr>
        <w:t>Huangfu Y, Yu X, Wan C, Zhu Y, Wei Z, Li F, Wang Y, Zhang K, Li S, Dong Y, Li Y, Niu H, Xin G, Huang W. Xanthohumol alleviates oxidative stress and impaired autophagy in experimental severe acute pancreatitis through inhibition of AKT/mTOR. Front Pharmacol. 2023 Jan 18;14:1105726. doi: 10.3389/fphar.2023.1105726. PMID: 36744265; PMCID: PMC9890064.</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14C98"/>
    <w:multiLevelType w:val="multilevel"/>
    <w:tmpl w:val="1EF14C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B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2026-01-13T09:29:25Z</dcterms:created>
  <dc:creator>GR_MPS</dc:creator>
  <cp:lastModifiedBy>ΕΛΕΝΗ ΡΑΦΑΗΛΙΔΟ�</cp:lastModifiedBy>
  <dcterms:modified xsi:type="dcterms:W3CDTF">2026-01-13T09:29:35Z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B9C458EBD3AF4F838A96A5F9A9C7DA63_12</vt:lpwstr>
  </property>
</Properties>
</file>