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938D" w14:textId="64E90F7A" w:rsidR="000771B4" w:rsidRPr="00460FCD" w:rsidRDefault="003E3FFD" w:rsidP="00D448E3">
      <w:pPr>
        <w:pStyle w:val="Heading1"/>
        <w:spacing w:after="35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D448E3">
        <w:rPr>
          <w:rFonts w:ascii="Palatino Linotype" w:hAnsi="Palatino Linotype" w:cstheme="minorHAnsi"/>
          <w:b/>
          <w:bCs/>
          <w:color w:val="002060"/>
          <w:sz w:val="24"/>
          <w:szCs w:val="24"/>
          <w:u w:val="single"/>
          <w:lang w:val="en-US"/>
        </w:rPr>
        <w:t>Bibliography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:  </w:t>
      </w:r>
    </w:p>
    <w:p w14:paraId="02EA2BC5" w14:textId="77777777" w:rsidR="00AC72E1" w:rsidRPr="00460FCD" w:rsidRDefault="00AC72E1" w:rsidP="003E3FFD">
      <w:pPr>
        <w:pStyle w:val="Heading1"/>
        <w:spacing w:after="35"/>
        <w:ind w:left="2"/>
        <w:jc w:val="both"/>
        <w:rPr>
          <w:rFonts w:ascii="Palatino Linotype" w:hAnsi="Palatino Linotype" w:cstheme="minorHAnsi"/>
          <w:color w:val="002060"/>
          <w:sz w:val="24"/>
          <w:szCs w:val="24"/>
        </w:rPr>
      </w:pPr>
    </w:p>
    <w:p w14:paraId="6C9DE11B" w14:textId="77777777" w:rsidR="003E3FFD" w:rsidRDefault="003E3FFD" w:rsidP="00D448E3">
      <w:pPr>
        <w:pStyle w:val="Heading1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proofErr w:type="spellStart"/>
      <w:r w:rsidRPr="00460FCD">
        <w:rPr>
          <w:rFonts w:ascii="Palatino Linotype" w:hAnsi="Palatino Linotype" w:cstheme="minorHAnsi"/>
          <w:color w:val="002060"/>
          <w:sz w:val="24"/>
          <w:szCs w:val="24"/>
        </w:rPr>
        <w:t>Δημουλάς</w:t>
      </w:r>
      <w:proofErr w:type="spellEnd"/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>Δήμος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proofErr w:type="spellStart"/>
      <w:r w:rsidRPr="00460FCD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Englistoria</w:t>
      </w:r>
      <w:proofErr w:type="spellEnd"/>
      <w:r w:rsidRPr="00460FCD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: English through the Study of History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>, (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US"/>
        </w:rPr>
        <w:t>Vol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GB"/>
        </w:rPr>
        <w:t xml:space="preserve">. 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US"/>
        </w:rPr>
        <w:t>II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 xml:space="preserve">) (2012). Επίκεντρο: Θεσσαλονίκη </w:t>
      </w:r>
    </w:p>
    <w:p w14:paraId="33BCC735" w14:textId="77777777" w:rsidR="00D448E3" w:rsidRPr="00D448E3" w:rsidRDefault="00D448E3" w:rsidP="00D448E3">
      <w:pPr>
        <w:spacing w:after="0" w:line="240" w:lineRule="auto"/>
        <w:rPr>
          <w:lang w:val="en-US" w:eastAsia="el-GR"/>
        </w:rPr>
      </w:pPr>
    </w:p>
    <w:p w14:paraId="7FD1C005" w14:textId="77777777" w:rsidR="00AC72E1" w:rsidRPr="00460FCD" w:rsidRDefault="00AC72E1" w:rsidP="00D448E3">
      <w:pPr>
        <w:pStyle w:val="Heading1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theme="minorHAnsi"/>
          <w:color w:val="002060"/>
          <w:sz w:val="24"/>
          <w:szCs w:val="24"/>
          <w:lang w:val="en-GB"/>
        </w:rPr>
      </w:pPr>
      <w:proofErr w:type="spellStart"/>
      <w:r w:rsidRPr="00460FCD">
        <w:rPr>
          <w:rFonts w:ascii="Palatino Linotype" w:hAnsi="Palatino Linotype" w:cstheme="minorHAnsi"/>
          <w:color w:val="002060"/>
          <w:sz w:val="24"/>
          <w:szCs w:val="24"/>
        </w:rPr>
        <w:t>Δημουλάς</w:t>
      </w:r>
      <w:proofErr w:type="spellEnd"/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>Δήμος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proofErr w:type="spellStart"/>
      <w:r w:rsidRPr="00460FCD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Englistoria</w:t>
      </w:r>
      <w:proofErr w:type="spellEnd"/>
      <w:r w:rsidRPr="00460FCD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: English through the Study of History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>, (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US"/>
        </w:rPr>
        <w:t>Vol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GB"/>
        </w:rPr>
        <w:t xml:space="preserve">. 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US"/>
        </w:rPr>
        <w:t>I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 xml:space="preserve">) (2011). 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>Επίκεντρο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 xml:space="preserve">: 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>Θεσσαλονίκη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 xml:space="preserve"> </w:t>
      </w:r>
    </w:p>
    <w:p w14:paraId="5823522D" w14:textId="77777777" w:rsidR="000771B4" w:rsidRPr="00460FCD" w:rsidRDefault="000771B4" w:rsidP="003E3FFD">
      <w:pPr>
        <w:spacing w:after="100" w:line="248" w:lineRule="auto"/>
        <w:ind w:left="2" w:right="51" w:firstLine="7"/>
        <w:jc w:val="both"/>
        <w:rPr>
          <w:rFonts w:ascii="Palatino Linotype" w:hAnsi="Palatino Linotype" w:cstheme="minorHAnsi"/>
          <w:color w:val="002060"/>
          <w:sz w:val="24"/>
          <w:szCs w:val="24"/>
          <w:u w:val="single"/>
          <w:lang w:val="en-US"/>
        </w:rPr>
      </w:pPr>
    </w:p>
    <w:p w14:paraId="28399603" w14:textId="77777777" w:rsidR="00664EF0" w:rsidRPr="00460FCD" w:rsidRDefault="00664EF0" w:rsidP="00664EF0">
      <w:pPr>
        <w:pBdr>
          <w:bottom w:val="single" w:sz="6" w:space="1" w:color="auto"/>
        </w:pBdr>
        <w:spacing w:after="100" w:line="248" w:lineRule="auto"/>
        <w:ind w:left="2" w:right="51" w:firstLine="7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>
        <w:rPr>
          <w:rFonts w:ascii="Palatino Linotype" w:hAnsi="Palatino Linotype" w:cstheme="minorHAnsi"/>
          <w:b/>
          <w:color w:val="C00000"/>
          <w:sz w:val="24"/>
          <w:szCs w:val="24"/>
          <w:u w:val="single"/>
          <w:lang w:val="en-US"/>
        </w:rPr>
        <w:t>Books / Articles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:</w:t>
      </w:r>
    </w:p>
    <w:p w14:paraId="6F8E46E8" w14:textId="01689854" w:rsidR="003E3FFD" w:rsidRPr="008B5B1C" w:rsidRDefault="003E3FFD" w:rsidP="008B5B1C">
      <w:pPr>
        <w:pStyle w:val="ListParagraph"/>
        <w:numPr>
          <w:ilvl w:val="0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Herodotus, </w:t>
      </w:r>
      <w:r w:rsidRPr="008B5B1C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History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</w:p>
    <w:p w14:paraId="404313FD" w14:textId="39E4826F" w:rsidR="003E3FFD" w:rsidRPr="008B5B1C" w:rsidRDefault="003E3FFD" w:rsidP="008B5B1C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proofErr w:type="spellStart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Thucidides</w:t>
      </w:r>
      <w:proofErr w:type="spellEnd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r w:rsidRPr="008B5B1C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Historiae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 </w:t>
      </w:r>
    </w:p>
    <w:p w14:paraId="778C5BC2" w14:textId="79B341A6" w:rsidR="000771B4" w:rsidRPr="008B5B1C" w:rsidRDefault="000771B4" w:rsidP="008B5B1C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Plutarch</w:t>
      </w:r>
    </w:p>
    <w:p w14:paraId="66EBAB14" w14:textId="0C38DE72" w:rsidR="008B5B1C" w:rsidRPr="008B5B1C" w:rsidRDefault="000771B4" w:rsidP="008B5B1C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Cicero</w:t>
      </w:r>
    </w:p>
    <w:p w14:paraId="44CE957F" w14:textId="6CC766A4" w:rsidR="003E3FFD" w:rsidRPr="008B5B1C" w:rsidRDefault="003E3FFD" w:rsidP="008B5B1C">
      <w:pPr>
        <w:pStyle w:val="ListParagraph"/>
        <w:numPr>
          <w:ilvl w:val="1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Paul Cartledge, “Greece: Birthplace of the modern world?” The Guardian, 7 November 2010. </w:t>
      </w:r>
    </w:p>
    <w:p w14:paraId="444A02C0" w14:textId="1B8DA710" w:rsidR="003E3FFD" w:rsidRPr="008B5B1C" w:rsidRDefault="003E3FFD" w:rsidP="008B5B1C">
      <w:pPr>
        <w:pStyle w:val="ListParagraph"/>
        <w:numPr>
          <w:ilvl w:val="1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Paul Cartledge, “Myths, Science and Social Structure”. The Guardian, 7 November 2010 </w:t>
      </w:r>
    </w:p>
    <w:p w14:paraId="665862E1" w14:textId="1AE0E3BB" w:rsidR="003E3FFD" w:rsidRPr="008B5B1C" w:rsidRDefault="003E3FFD" w:rsidP="008B5B1C">
      <w:pPr>
        <w:pStyle w:val="ListParagraph"/>
        <w:numPr>
          <w:ilvl w:val="1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Anthony Bryer, “The Roman Orthodox World (1393-1492)” in Jonathan </w:t>
      </w:r>
      <w:proofErr w:type="spellStart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Sephard</w:t>
      </w:r>
      <w:proofErr w:type="spellEnd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(ed.): The Cambridge History of the Byzantine Empire. Cambridge: Cambridge University Press (2008), pp. 856-860  </w:t>
      </w:r>
    </w:p>
    <w:p w14:paraId="67D6377D" w14:textId="4AB64511" w:rsidR="003E3FFD" w:rsidRPr="008B5B1C" w:rsidRDefault="003E3FFD" w:rsidP="008B5B1C">
      <w:pPr>
        <w:pStyle w:val="ListParagraph"/>
        <w:numPr>
          <w:ilvl w:val="1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Mark </w:t>
      </w:r>
      <w:proofErr w:type="spellStart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Mazower</w:t>
      </w:r>
      <w:proofErr w:type="spellEnd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, “The Messiah and the Bourgeoisie: Venizelos and Politics in Greece, 1909-1912”, The Historical Journal, Vol. 35, No. 4 (Dec. 1992), pp.</w:t>
      </w:r>
      <w:r w:rsidR="00460FCD"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885-904 </w:t>
      </w:r>
    </w:p>
    <w:p w14:paraId="201BA9E0" w14:textId="77777777" w:rsidR="00A76ACB" w:rsidRPr="00460FCD" w:rsidRDefault="00A76ACB" w:rsidP="003E3FFD">
      <w:pPr>
        <w:spacing w:after="100" w:line="248" w:lineRule="auto"/>
        <w:ind w:left="2" w:right="51" w:firstLine="7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-------------------------------------------------------</w:t>
      </w:r>
    </w:p>
    <w:p w14:paraId="6050CCB1" w14:textId="2EACD895" w:rsidR="003E3FFD" w:rsidRPr="00460FCD" w:rsidRDefault="000771B4" w:rsidP="003E3FFD">
      <w:pPr>
        <w:spacing w:after="100" w:line="248" w:lineRule="auto"/>
        <w:ind w:left="2" w:right="51" w:firstLine="7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AB133E">
        <w:rPr>
          <w:rFonts w:ascii="Palatino Linotype" w:hAnsi="Palatino Linotype" w:cstheme="minorHAnsi"/>
          <w:b/>
          <w:bCs/>
          <w:color w:val="00B050"/>
          <w:sz w:val="24"/>
          <w:szCs w:val="24"/>
          <w:u w:val="single"/>
          <w:lang w:val="en-US"/>
        </w:rPr>
        <w:t>More sources online:</w:t>
      </w:r>
      <w:r w:rsidR="003E3FFD" w:rsidRPr="00AB133E">
        <w:rPr>
          <w:rFonts w:ascii="Palatino Linotype" w:hAnsi="Palatino Linotype" w:cstheme="minorHAnsi"/>
          <w:color w:val="00B050"/>
          <w:sz w:val="24"/>
          <w:szCs w:val="24"/>
          <w:lang w:val="en-US"/>
        </w:rPr>
        <w:t xml:space="preserve"> </w:t>
      </w:r>
    </w:p>
    <w:p w14:paraId="196B8D13" w14:textId="77777777" w:rsidR="000771B4" w:rsidRPr="008B5B1C" w:rsidRDefault="003E3FFD" w:rsidP="008B5B1C">
      <w:pPr>
        <w:pStyle w:val="ListParagraph"/>
        <w:numPr>
          <w:ilvl w:val="0"/>
          <w:numId w:val="5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Wiley publications</w:t>
      </w:r>
      <w:r w:rsidR="00A33AB0"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; 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</w:p>
    <w:p w14:paraId="4FD7379B" w14:textId="77777777" w:rsidR="000771B4" w:rsidRPr="008B5B1C" w:rsidRDefault="003E3FFD" w:rsidP="008B5B1C">
      <w:pPr>
        <w:pStyle w:val="ListParagraph"/>
        <w:numPr>
          <w:ilvl w:val="0"/>
          <w:numId w:val="5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Research Gate</w:t>
      </w:r>
      <w:r w:rsidR="00A33AB0"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; 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</w:p>
    <w:p w14:paraId="6F700E54" w14:textId="77777777" w:rsidR="000771B4" w:rsidRPr="008B5B1C" w:rsidRDefault="003E3FFD" w:rsidP="008B5B1C">
      <w:pPr>
        <w:pStyle w:val="ListParagraph"/>
        <w:numPr>
          <w:ilvl w:val="0"/>
          <w:numId w:val="5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Academia</w:t>
      </w:r>
      <w:r w:rsidR="000F6344"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;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</w:p>
    <w:p w14:paraId="16C985BC" w14:textId="36D2713F" w:rsidR="003E3FFD" w:rsidRPr="008B5B1C" w:rsidRDefault="000F6344" w:rsidP="008B5B1C">
      <w:pPr>
        <w:pStyle w:val="ListParagraph"/>
        <w:numPr>
          <w:ilvl w:val="0"/>
          <w:numId w:val="5"/>
        </w:numPr>
        <w:spacing w:after="100" w:line="248" w:lineRule="auto"/>
        <w:ind w:right="51"/>
        <w:jc w:val="both"/>
        <w:rPr>
          <w:rFonts w:ascii="Palatino Linotype" w:hAnsi="Palatino Linotype" w:cstheme="minorHAnsi"/>
          <w:iCs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Wikipedia, </w:t>
      </w:r>
      <w:r w:rsidR="003E3FFD" w:rsidRPr="008B5B1C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et al</w:t>
      </w:r>
      <w:r w:rsidR="000771B4" w:rsidRPr="008B5B1C">
        <w:rPr>
          <w:rFonts w:ascii="Palatino Linotype" w:hAnsi="Palatino Linotype" w:cstheme="minorHAnsi"/>
          <w:iCs/>
          <w:color w:val="002060"/>
          <w:sz w:val="24"/>
          <w:szCs w:val="24"/>
          <w:lang w:val="en-US"/>
        </w:rPr>
        <w:t>.</w:t>
      </w:r>
    </w:p>
    <w:p w14:paraId="4C1C3232" w14:textId="77777777" w:rsidR="000531BC" w:rsidRPr="003E3FFD" w:rsidRDefault="000531BC">
      <w:pPr>
        <w:rPr>
          <w:lang w:val="en-US"/>
        </w:rPr>
      </w:pPr>
    </w:p>
    <w:sectPr w:rsidR="000531BC" w:rsidRPr="003E3F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A163C"/>
    <w:multiLevelType w:val="hybridMultilevel"/>
    <w:tmpl w:val="FA24E480"/>
    <w:lvl w:ilvl="0" w:tplc="0408000B">
      <w:start w:val="1"/>
      <w:numFmt w:val="bullet"/>
      <w:lvlText w:val=""/>
      <w:lvlJc w:val="left"/>
      <w:pPr>
        <w:ind w:left="3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3E341E6D"/>
    <w:multiLevelType w:val="hybridMultilevel"/>
    <w:tmpl w:val="E0F6BE48"/>
    <w:lvl w:ilvl="0" w:tplc="04080009">
      <w:start w:val="1"/>
      <w:numFmt w:val="bullet"/>
      <w:lvlText w:val=""/>
      <w:lvlJc w:val="left"/>
      <w:pPr>
        <w:ind w:left="7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466E251D"/>
    <w:multiLevelType w:val="hybridMultilevel"/>
    <w:tmpl w:val="1B9C9AE0"/>
    <w:lvl w:ilvl="0" w:tplc="9146AD48">
      <w:numFmt w:val="bullet"/>
      <w:lvlText w:val="-"/>
      <w:lvlJc w:val="left"/>
      <w:pPr>
        <w:ind w:left="369" w:hanging="360"/>
      </w:pPr>
      <w:rPr>
        <w:rFonts w:ascii="Palatino Linotype" w:eastAsiaTheme="minorHAnsi" w:hAnsi="Palatino Linotype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6C16AE2"/>
    <w:multiLevelType w:val="hybridMultilevel"/>
    <w:tmpl w:val="715EB3BA"/>
    <w:lvl w:ilvl="0" w:tplc="0408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2" w:tplc="3EF6D8F4">
      <w:numFmt w:val="bullet"/>
      <w:lvlText w:val="-"/>
      <w:lvlJc w:val="left"/>
      <w:pPr>
        <w:ind w:left="2169" w:hanging="360"/>
      </w:pPr>
      <w:rPr>
        <w:rFonts w:ascii="Palatino Linotype" w:eastAsiaTheme="minorHAnsi" w:hAnsi="Palatino Linotype" w:cstheme="minorHAnsi" w:hint="default"/>
      </w:rPr>
    </w:lvl>
    <w:lvl w:ilvl="3" w:tplc="0408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78885A53"/>
    <w:multiLevelType w:val="hybridMultilevel"/>
    <w:tmpl w:val="A8FC6364"/>
    <w:lvl w:ilvl="0" w:tplc="0408000B">
      <w:start w:val="1"/>
      <w:numFmt w:val="bullet"/>
      <w:lvlText w:val=""/>
      <w:lvlJc w:val="left"/>
      <w:pPr>
        <w:ind w:left="3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1707289991">
    <w:abstractNumId w:val="0"/>
  </w:num>
  <w:num w:numId="2" w16cid:durableId="1518614329">
    <w:abstractNumId w:val="4"/>
  </w:num>
  <w:num w:numId="3" w16cid:durableId="1422601804">
    <w:abstractNumId w:val="3"/>
  </w:num>
  <w:num w:numId="4" w16cid:durableId="1556359242">
    <w:abstractNumId w:val="2"/>
  </w:num>
  <w:num w:numId="5" w16cid:durableId="129016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FD"/>
    <w:rsid w:val="000531BC"/>
    <w:rsid w:val="000771B4"/>
    <w:rsid w:val="0009072F"/>
    <w:rsid w:val="000F6344"/>
    <w:rsid w:val="003B23E6"/>
    <w:rsid w:val="003E3FFD"/>
    <w:rsid w:val="00460FCD"/>
    <w:rsid w:val="00664EF0"/>
    <w:rsid w:val="008B5B1C"/>
    <w:rsid w:val="00A33AB0"/>
    <w:rsid w:val="00A76ACB"/>
    <w:rsid w:val="00AB133E"/>
    <w:rsid w:val="00AC72E1"/>
    <w:rsid w:val="00D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D353"/>
  <w15:chartTrackingRefBased/>
  <w15:docId w15:val="{7D3929A2-3668-44A2-BEC9-9557B61D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FD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3E3FFD"/>
    <w:pPr>
      <w:keepNext/>
      <w:keepLines/>
      <w:spacing w:after="157" w:line="226" w:lineRule="auto"/>
      <w:ind w:firstLine="7"/>
      <w:outlineLvl w:val="0"/>
    </w:pPr>
    <w:rPr>
      <w:rFonts w:ascii="Century" w:eastAsia="Century" w:hAnsi="Century" w:cs="Century"/>
      <w:color w:val="000000"/>
      <w:sz w:val="25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FFD"/>
    <w:rPr>
      <w:rFonts w:ascii="Century" w:eastAsia="Century" w:hAnsi="Century" w:cs="Century"/>
      <w:color w:val="000000"/>
      <w:sz w:val="25"/>
      <w:lang w:eastAsia="el-GR"/>
    </w:rPr>
  </w:style>
  <w:style w:type="paragraph" w:styleId="ListParagraph">
    <w:name w:val="List Paragraph"/>
    <w:basedOn w:val="Normal"/>
    <w:uiPriority w:val="34"/>
    <w:qFormat/>
    <w:rsid w:val="00AC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Marin</cp:lastModifiedBy>
  <cp:revision>2</cp:revision>
  <dcterms:created xsi:type="dcterms:W3CDTF">2025-03-03T23:07:00Z</dcterms:created>
  <dcterms:modified xsi:type="dcterms:W3CDTF">2025-03-03T23:07:00Z</dcterms:modified>
</cp:coreProperties>
</file>